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5FF25" w14:textId="77777777" w:rsidR="00B44E8F" w:rsidRPr="00015E88" w:rsidRDefault="000830F1" w:rsidP="0082227D">
      <w:pPr>
        <w:keepNext/>
        <w:keepLines/>
        <w:spacing w:before="480" w:after="0"/>
        <w:jc w:val="both"/>
        <w:outlineLvl w:val="0"/>
        <w:rPr>
          <w:rFonts w:asciiTheme="majorHAnsi" w:eastAsia="Times New Roman" w:hAnsiTheme="majorHAnsi" w:cs="Times New Roman"/>
          <w:b/>
          <w:bCs/>
          <w:lang w:val="uz-Cyrl-UZ"/>
        </w:rPr>
      </w:pPr>
      <w:bookmarkStart w:id="0" w:name="_GoBack"/>
      <w:bookmarkEnd w:id="0"/>
      <w:r w:rsidRPr="00015E88">
        <w:rPr>
          <w:rFonts w:asciiTheme="majorHAnsi" w:eastAsia="Times New Roman" w:hAnsiTheme="majorHAnsi" w:cs="Times New Roman"/>
          <w:b/>
          <w:bCs/>
          <w:noProof/>
          <w:color w:val="365F91"/>
          <w:lang w:val="sr-Latn-ME" w:eastAsia="sr-Latn-ME"/>
        </w:rPr>
        <w:drawing>
          <wp:anchor distT="0" distB="0" distL="114300" distR="114300" simplePos="0" relativeHeight="251659264" behindDoc="1" locked="0" layoutInCell="1" allowOverlap="1" wp14:anchorId="63CEA7B0" wp14:editId="0A04066C">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14:paraId="7649F432" w14:textId="77777777" w:rsidR="000830F1" w:rsidRPr="00015E88" w:rsidRDefault="000830F1" w:rsidP="002D668C">
      <w:pPr>
        <w:keepNext/>
        <w:keepLines/>
        <w:spacing w:before="480" w:after="240"/>
        <w:jc w:val="both"/>
        <w:outlineLvl w:val="0"/>
        <w:rPr>
          <w:rFonts w:asciiTheme="majorHAnsi" w:eastAsia="Times New Roman" w:hAnsiTheme="majorHAnsi" w:cs="Times New Roman"/>
          <w:b/>
          <w:bCs/>
          <w:sz w:val="28"/>
          <w:lang w:val="uz-Cyrl-UZ"/>
        </w:rPr>
      </w:pPr>
      <w:r w:rsidRPr="00015E88">
        <w:rPr>
          <w:rFonts w:asciiTheme="majorHAnsi" w:eastAsia="Times New Roman" w:hAnsiTheme="majorHAnsi" w:cs="Times New Roman"/>
          <w:b/>
          <w:bCs/>
          <w:sz w:val="28"/>
          <w:lang w:val="uz-Cyrl-UZ"/>
        </w:rPr>
        <w:t xml:space="preserve">Sloboda izražavanja – presude Evropskog suda za ljudska prava </w:t>
      </w:r>
    </w:p>
    <w:p w14:paraId="0E2A267E" w14:textId="77777777" w:rsidR="0071131D" w:rsidRPr="00015E88" w:rsidRDefault="0082227D" w:rsidP="00033C7F">
      <w:pPr>
        <w:keepNext/>
        <w:keepLines/>
        <w:spacing w:before="480" w:after="0"/>
        <w:ind w:left="1418" w:hanging="1418"/>
        <w:jc w:val="both"/>
        <w:outlineLvl w:val="0"/>
        <w:rPr>
          <w:rFonts w:asciiTheme="majorHAnsi" w:eastAsia="Calibri" w:hAnsiTheme="majorHAnsi" w:cs="Times New Roman"/>
          <w:i/>
          <w:sz w:val="2"/>
          <w:szCs w:val="23"/>
          <w:lang w:val="uz-Cyrl-UZ"/>
        </w:rPr>
      </w:pPr>
      <w:r w:rsidRPr="00015E88">
        <w:rPr>
          <w:rFonts w:asciiTheme="majorHAnsi" w:eastAsia="Times New Roman" w:hAnsiTheme="majorHAnsi" w:cs="Times New Roman"/>
          <w:b/>
          <w:bCs/>
          <w:sz w:val="23"/>
          <w:szCs w:val="23"/>
          <w:lang w:val="uz-Cyrl-UZ"/>
        </w:rPr>
        <w:t xml:space="preserve">Bilten </w:t>
      </w:r>
      <w:r w:rsidR="00201FBF" w:rsidRPr="00015E88">
        <w:rPr>
          <w:rFonts w:asciiTheme="majorHAnsi" w:eastAsia="Times New Roman" w:hAnsiTheme="majorHAnsi" w:cs="Times New Roman"/>
          <w:b/>
          <w:bCs/>
          <w:sz w:val="23"/>
          <w:szCs w:val="23"/>
          <w:lang w:val="uz-Cyrl-UZ"/>
        </w:rPr>
        <w:t>L</w:t>
      </w:r>
      <w:r w:rsidR="0071131D" w:rsidRPr="00015E88">
        <w:rPr>
          <w:rFonts w:asciiTheme="majorHAnsi" w:eastAsia="Times New Roman" w:hAnsiTheme="majorHAnsi" w:cs="Times New Roman"/>
          <w:b/>
          <w:bCs/>
          <w:sz w:val="23"/>
          <w:szCs w:val="23"/>
          <w:lang w:val="uz-Cyrl-UZ"/>
        </w:rPr>
        <w:t>X</w:t>
      </w:r>
      <w:r w:rsidR="00450E99" w:rsidRPr="00015E88">
        <w:rPr>
          <w:rFonts w:asciiTheme="majorHAnsi" w:eastAsia="Times New Roman" w:hAnsiTheme="majorHAnsi" w:cs="Times New Roman"/>
          <w:b/>
          <w:bCs/>
          <w:sz w:val="23"/>
          <w:szCs w:val="23"/>
          <w:lang w:val="uz-Cyrl-UZ"/>
        </w:rPr>
        <w:t>I</w:t>
      </w:r>
      <w:r w:rsidR="00286C49" w:rsidRPr="00015E88">
        <w:rPr>
          <w:rFonts w:asciiTheme="majorHAnsi" w:eastAsia="Times New Roman" w:hAnsiTheme="majorHAnsi" w:cs="Times New Roman"/>
          <w:b/>
          <w:bCs/>
          <w:sz w:val="23"/>
          <w:szCs w:val="23"/>
          <w:lang w:val="uz-Cyrl-UZ"/>
        </w:rPr>
        <w:t>I</w:t>
      </w:r>
      <w:r w:rsidR="000830F1" w:rsidRPr="00015E88">
        <w:rPr>
          <w:rFonts w:asciiTheme="majorHAnsi" w:eastAsia="Times New Roman" w:hAnsiTheme="majorHAnsi" w:cs="Times New Roman"/>
          <w:b/>
          <w:bCs/>
          <w:sz w:val="23"/>
          <w:szCs w:val="23"/>
          <w:lang w:val="uz-Cyrl-UZ"/>
        </w:rPr>
        <w:t>:</w:t>
      </w:r>
      <w:r w:rsidR="005A67EF" w:rsidRPr="00015E88">
        <w:rPr>
          <w:rFonts w:asciiTheme="majorHAnsi" w:eastAsia="Times New Roman" w:hAnsiTheme="majorHAnsi" w:cs="Times New Roman"/>
          <w:b/>
          <w:bCs/>
          <w:sz w:val="23"/>
          <w:szCs w:val="23"/>
          <w:lang w:val="uz-Cyrl-UZ"/>
        </w:rPr>
        <w:t xml:space="preserve"> </w:t>
      </w:r>
      <w:r w:rsidR="00286C49" w:rsidRPr="00015E88">
        <w:rPr>
          <w:rFonts w:asciiTheme="majorHAnsi" w:eastAsia="Times New Roman" w:hAnsiTheme="majorHAnsi" w:cs="Times New Roman"/>
          <w:b/>
          <w:bCs/>
          <w:sz w:val="23"/>
          <w:szCs w:val="23"/>
          <w:lang w:val="uz-Cyrl-UZ"/>
        </w:rPr>
        <w:t xml:space="preserve">OBJAVLJIVANJE MATERIJALA IZ KRIVIČNIH ISTRAGA I SUĐENJA </w:t>
      </w:r>
    </w:p>
    <w:p w14:paraId="02135ADC" w14:textId="77777777" w:rsidR="00286C49" w:rsidRPr="00015E88" w:rsidRDefault="00D06798" w:rsidP="00286C49">
      <w:pPr>
        <w:rPr>
          <w:rFonts w:ascii="Cambria" w:eastAsia="Cambria" w:hAnsi="Cambria" w:cs="Times New Roman"/>
          <w:i/>
          <w:lang w:val="uz-Cyrl-UZ"/>
        </w:rPr>
      </w:pPr>
      <w:r w:rsidRPr="00015E88">
        <w:rPr>
          <w:rFonts w:asciiTheme="majorHAnsi" w:eastAsia="Calibri" w:hAnsiTheme="majorHAnsi" w:cs="Times New Roman"/>
          <w:noProof/>
          <w:szCs w:val="23"/>
          <w:lang w:val="sr-Latn-ME" w:eastAsia="sr-Latn-ME"/>
        </w:rPr>
        <mc:AlternateContent>
          <mc:Choice Requires="wps">
            <w:drawing>
              <wp:anchor distT="0" distB="0" distL="114300" distR="114300" simplePos="0" relativeHeight="251660288" behindDoc="0" locked="0" layoutInCell="1" allowOverlap="1" wp14:anchorId="57771DE5" wp14:editId="0FC2D108">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00286C49" w:rsidRPr="00015E88">
        <w:rPr>
          <w:rFonts w:ascii="Cambria" w:eastAsia="Cambria" w:hAnsi="Cambria" w:cs="Times New Roman"/>
          <w:i/>
          <w:lang w:val="uz-Cyrl-UZ"/>
        </w:rPr>
        <w:t>29. februar 2016.</w:t>
      </w:r>
    </w:p>
    <w:p w14:paraId="3B916E68" w14:textId="77777777" w:rsidR="00500887" w:rsidRPr="00015E88" w:rsidRDefault="00500887" w:rsidP="00500887">
      <w:pPr>
        <w:jc w:val="both"/>
        <w:rPr>
          <w:rFonts w:asciiTheme="majorHAnsi" w:eastAsia="Calibri" w:hAnsiTheme="majorHAnsi" w:cs="Times New Roman"/>
          <w:sz w:val="23"/>
          <w:szCs w:val="23"/>
          <w:lang w:val="uz-Cyrl-UZ"/>
        </w:rPr>
      </w:pPr>
    </w:p>
    <w:p w14:paraId="5545665F" w14:textId="77777777" w:rsidR="00286C49" w:rsidRPr="00015E88" w:rsidRDefault="00286C49" w:rsidP="00286C49">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Novinarima ponekad dospiju u ruke materijali iz krivičnih istraga ili kasnijih sudskih postupaka. Takav materijal može da ”procuri” iz policije ili sudske/t</w:t>
      </w:r>
      <w:r w:rsidR="007A0833">
        <w:rPr>
          <w:rFonts w:asciiTheme="majorHAnsi" w:eastAsia="Cambria" w:hAnsiTheme="majorHAnsi" w:cs="Times New Roman"/>
          <w:sz w:val="24"/>
          <w:szCs w:val="24"/>
          <w:lang w:val="uz-Cyrl-UZ"/>
        </w:rPr>
        <w:t>užilačke administracije i nekad se stvarno</w:t>
      </w:r>
      <w:r w:rsidRPr="00015E88">
        <w:rPr>
          <w:rFonts w:asciiTheme="majorHAnsi" w:eastAsia="Cambria" w:hAnsiTheme="majorHAnsi" w:cs="Times New Roman"/>
          <w:sz w:val="24"/>
          <w:szCs w:val="24"/>
          <w:lang w:val="uz-Cyrl-UZ"/>
        </w:rPr>
        <w:t xml:space="preserve"> tiče pitanja od velikog javnog interesa – posebno kada se suđenje ili istraga tiču javne ličnosti visokog profila. Imaju li mediji pravo da objave takav materijal? Prema principima </w:t>
      </w:r>
      <w:r w:rsidR="007A0833">
        <w:rPr>
          <w:rFonts w:asciiTheme="majorHAnsi" w:eastAsia="Cambria" w:hAnsiTheme="majorHAnsi" w:cs="Times New Roman"/>
          <w:sz w:val="24"/>
          <w:szCs w:val="24"/>
          <w:lang w:val="uz-Cyrl-UZ"/>
        </w:rPr>
        <w:t>iz presuda Evropskog</w:t>
      </w:r>
      <w:r w:rsidRPr="00015E88">
        <w:rPr>
          <w:rFonts w:asciiTheme="majorHAnsi" w:eastAsia="Cambria" w:hAnsiTheme="majorHAnsi" w:cs="Times New Roman"/>
          <w:sz w:val="24"/>
          <w:szCs w:val="24"/>
          <w:lang w:val="uz-Cyrl-UZ"/>
        </w:rPr>
        <w:t xml:space="preserve"> sud</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za ljudska prava i smjernicama Savjeta Evrope, odgovor na ovo pitanje dominantno zavisi od okolnosti svakog pojedinačnog slučaja. Iako je pravo novinara na</w:t>
      </w:r>
      <w:r w:rsidR="007A0833">
        <w:rPr>
          <w:rFonts w:asciiTheme="majorHAnsi" w:eastAsia="Cambria" w:hAnsiTheme="majorHAnsi" w:cs="Times New Roman"/>
          <w:sz w:val="24"/>
          <w:szCs w:val="24"/>
          <w:lang w:val="uz-Cyrl-UZ"/>
        </w:rPr>
        <w:t xml:space="preserve"> slobodu izražavanja važno</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i </w:t>
      </w:r>
      <w:r w:rsidRPr="00015E88">
        <w:rPr>
          <w:rFonts w:asciiTheme="majorHAnsi" w:eastAsia="Cambria" w:hAnsiTheme="majorHAnsi" w:cs="Times New Roman"/>
          <w:sz w:val="24"/>
          <w:szCs w:val="24"/>
          <w:lang w:val="uz-Cyrl-UZ"/>
        </w:rPr>
        <w:t>ojačano pravom javnosti da bude informisana o pitanjima od javnog interesa, interesi koji se moraju uravnotežiti, s druge strane, su pravo na privatnost svih osoba kojih se informacija tiče, kao i pravo na pravično suđenje i javni interes neometanog sprovođenja pravde</w:t>
      </w:r>
      <w:r w:rsidR="00F0570C" w:rsidRPr="00015E88">
        <w:rPr>
          <w:rFonts w:asciiTheme="majorHAnsi" w:eastAsia="Cambria" w:hAnsiTheme="majorHAnsi" w:cs="Times New Roman"/>
          <w:sz w:val="24"/>
          <w:szCs w:val="24"/>
          <w:lang w:val="uz-Cyrl-UZ"/>
        </w:rPr>
        <w:t>.</w:t>
      </w:r>
    </w:p>
    <w:p w14:paraId="62752C24" w14:textId="77777777" w:rsidR="00286C49" w:rsidRPr="00015E88" w:rsidRDefault="007A0833" w:rsidP="00286C49">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B</w:t>
      </w:r>
      <w:r w:rsidR="00286C49" w:rsidRPr="00015E88">
        <w:rPr>
          <w:rFonts w:asciiTheme="majorHAnsi" w:eastAsia="Cambria" w:hAnsiTheme="majorHAnsi" w:cs="Times New Roman"/>
          <w:sz w:val="24"/>
          <w:szCs w:val="24"/>
          <w:lang w:val="uz-Cyrl-UZ"/>
        </w:rPr>
        <w:t>ilten sažeto predstavlja osnovne presude Evropskog</w:t>
      </w:r>
      <w:r w:rsidR="006D0DD8">
        <w:rPr>
          <w:rFonts w:asciiTheme="majorHAnsi" w:eastAsia="Cambria" w:hAnsiTheme="majorHAnsi" w:cs="Times New Roman"/>
          <w:sz w:val="24"/>
          <w:szCs w:val="24"/>
          <w:lang w:val="uz-Cyrl-UZ"/>
        </w:rPr>
        <w:t xml:space="preserve"> suda za ljudska prava, smjernice</w:t>
      </w:r>
      <w:r w:rsidR="00286C49" w:rsidRPr="00015E88">
        <w:rPr>
          <w:rFonts w:asciiTheme="majorHAnsi" w:eastAsia="Cambria" w:hAnsiTheme="majorHAnsi" w:cs="Times New Roman"/>
          <w:sz w:val="24"/>
          <w:szCs w:val="24"/>
          <w:lang w:val="uz-Cyrl-UZ"/>
        </w:rPr>
        <w:t xml:space="preserve"> Savjeta Evrope, i daje letimičan uporedni prikaz zakonskih rješenja u nekim državama Evrope</w:t>
      </w:r>
      <w:r w:rsidRPr="007A0833">
        <w:rPr>
          <w:rFonts w:asciiTheme="majorHAnsi" w:eastAsia="Cambria" w:hAnsiTheme="majorHAnsi" w:cs="Times New Roman"/>
          <w:sz w:val="24"/>
          <w:szCs w:val="24"/>
          <w:lang w:val="uz-Cyrl-UZ"/>
        </w:rPr>
        <w:t xml:space="preserve"> </w:t>
      </w:r>
      <w:r>
        <w:rPr>
          <w:rFonts w:asciiTheme="majorHAnsi" w:eastAsia="Cambria" w:hAnsiTheme="majorHAnsi" w:cs="Times New Roman"/>
          <w:sz w:val="24"/>
          <w:szCs w:val="24"/>
          <w:lang w:val="uz-Cyrl-UZ"/>
        </w:rPr>
        <w:t>na ovu temu</w:t>
      </w:r>
      <w:r w:rsidR="00286C49" w:rsidRPr="00015E88">
        <w:rPr>
          <w:rFonts w:asciiTheme="majorHAnsi" w:eastAsia="Cambria" w:hAnsiTheme="majorHAnsi" w:cs="Times New Roman"/>
          <w:sz w:val="24"/>
          <w:szCs w:val="24"/>
          <w:lang w:val="uz-Cyrl-UZ"/>
        </w:rPr>
        <w:t xml:space="preserve">. </w:t>
      </w:r>
    </w:p>
    <w:p w14:paraId="442B54EB" w14:textId="77777777" w:rsidR="00F0570C" w:rsidRPr="004B33CE" w:rsidRDefault="00286C49" w:rsidP="00286C49">
      <w:pPr>
        <w:jc w:val="both"/>
        <w:rPr>
          <w:rFonts w:asciiTheme="majorHAnsi" w:eastAsia="Cambria" w:hAnsiTheme="majorHAnsi" w:cs="Times New Roman"/>
          <w:b/>
          <w:sz w:val="24"/>
          <w:szCs w:val="24"/>
          <w:u w:val="single"/>
          <w:lang w:val="uz-Cyrl-UZ"/>
        </w:rPr>
      </w:pPr>
      <w:r w:rsidRPr="004B33CE">
        <w:rPr>
          <w:rFonts w:asciiTheme="majorHAnsi" w:eastAsia="Cambria" w:hAnsiTheme="majorHAnsi" w:cs="Times New Roman"/>
          <w:b/>
          <w:sz w:val="24"/>
          <w:szCs w:val="24"/>
          <w:u w:val="single"/>
          <w:lang w:val="uz-Cyrl-UZ"/>
        </w:rPr>
        <w:t>Odluke Evropskog suda za ljudska prav</w:t>
      </w:r>
      <w:r w:rsidR="00F0570C" w:rsidRPr="004B33CE">
        <w:rPr>
          <w:rFonts w:asciiTheme="majorHAnsi" w:eastAsia="Cambria" w:hAnsiTheme="majorHAnsi" w:cs="Times New Roman"/>
          <w:b/>
          <w:sz w:val="24"/>
          <w:szCs w:val="24"/>
          <w:u w:val="single"/>
          <w:lang w:val="uz-Cyrl-UZ"/>
        </w:rPr>
        <w:t>a</w:t>
      </w:r>
    </w:p>
    <w:p w14:paraId="4D658E2B" w14:textId="77777777" w:rsidR="00286C49" w:rsidRPr="00015E88" w:rsidRDefault="00F0570C" w:rsidP="00F0570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Dupuis i drugi protiv Francuske</w:t>
      </w:r>
      <w:r w:rsidRPr="00015E88">
        <w:rPr>
          <w:rFonts w:asciiTheme="majorHAnsi" w:eastAsia="Cambria" w:hAnsiTheme="majorHAnsi" w:cs="Times New Roman"/>
          <w:sz w:val="24"/>
          <w:szCs w:val="24"/>
          <w:lang w:val="uz-Cyrl-UZ"/>
        </w:rPr>
        <w:t>,</w:t>
      </w:r>
      <w:r w:rsidR="007A0833">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predstavka br. 1914/02, 7. jun 2007: </w:t>
      </w:r>
      <w:r w:rsidRPr="00015E88">
        <w:rPr>
          <w:rFonts w:asciiTheme="majorHAnsi" w:eastAsia="Cambria" w:hAnsiTheme="majorHAnsi" w:cs="Times New Roman"/>
          <w:sz w:val="24"/>
          <w:szCs w:val="24"/>
          <w:highlight w:val="yellow"/>
          <w:lang w:val="uz-Cyrl-UZ"/>
        </w:rPr>
        <w:t>osudom zbog objavljivanja materijala iz istrage</w:t>
      </w:r>
      <w:r w:rsidR="007A0833">
        <w:rPr>
          <w:rFonts w:asciiTheme="majorHAnsi" w:eastAsia="Cambria" w:hAnsiTheme="majorHAnsi" w:cs="Times New Roman"/>
          <w:sz w:val="24"/>
          <w:szCs w:val="24"/>
          <w:highlight w:val="yellow"/>
          <w:lang w:val="uz-Cyrl-UZ"/>
        </w:rPr>
        <w:t xml:space="preserve"> o kojem je već izvještavano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14:paraId="4C0BD672" w14:textId="77777777" w:rsidR="00F0570C" w:rsidRPr="00015E88" w:rsidRDefault="00F0570C"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Ovaj slučaj se </w:t>
      </w:r>
      <w:r w:rsidR="007A0833">
        <w:rPr>
          <w:rFonts w:asciiTheme="majorHAnsi" w:eastAsia="Cambria" w:hAnsiTheme="majorHAnsi" w:cs="Times New Roman"/>
          <w:sz w:val="24"/>
          <w:szCs w:val="24"/>
          <w:lang w:val="uz-Cyrl-UZ"/>
        </w:rPr>
        <w:t>ticao osude</w:t>
      </w:r>
      <w:r w:rsidRPr="00015E88">
        <w:rPr>
          <w:rFonts w:asciiTheme="majorHAnsi" w:eastAsia="Cambria" w:hAnsiTheme="majorHAnsi" w:cs="Times New Roman"/>
          <w:sz w:val="24"/>
          <w:szCs w:val="24"/>
          <w:lang w:val="uz-Cyrl-UZ"/>
        </w:rPr>
        <w:t xml:space="preserve"> dvojice novinara zbog toga što su </w:t>
      </w:r>
      <w:r w:rsidR="006D0DD8" w:rsidRPr="006D0DD8">
        <w:rPr>
          <w:rFonts w:asciiTheme="majorHAnsi" w:eastAsia="Cambria" w:hAnsiTheme="majorHAnsi" w:cs="Times New Roman"/>
          <w:sz w:val="24"/>
          <w:szCs w:val="24"/>
          <w:lang w:val="uz-Cyrl-UZ"/>
        </w:rPr>
        <w:t xml:space="preserve">koristili materijal dobijen kroz sudsku istragu </w:t>
      </w:r>
      <w:r w:rsidRPr="00015E88">
        <w:rPr>
          <w:rFonts w:asciiTheme="majorHAnsi" w:eastAsia="Cambria" w:hAnsiTheme="majorHAnsi" w:cs="Times New Roman"/>
          <w:sz w:val="24"/>
          <w:szCs w:val="24"/>
          <w:lang w:val="uz-Cyrl-UZ"/>
        </w:rPr>
        <w:t>za svoju knjigu o nezakonitom prisluškivanju telefona novinara, advokata i drugih ličnosti visokog profila</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koje je </w:t>
      </w:r>
      <w:r w:rsidR="007A0833">
        <w:rPr>
          <w:rFonts w:asciiTheme="majorHAnsi" w:eastAsia="Cambria" w:hAnsiTheme="majorHAnsi" w:cs="Times New Roman"/>
          <w:sz w:val="24"/>
          <w:szCs w:val="24"/>
          <w:lang w:val="uz-Cyrl-UZ"/>
        </w:rPr>
        <w:t xml:space="preserve">bilo </w:t>
      </w:r>
      <w:r w:rsidRPr="00015E88">
        <w:rPr>
          <w:rFonts w:asciiTheme="majorHAnsi" w:eastAsia="Cambria" w:hAnsiTheme="majorHAnsi" w:cs="Times New Roman"/>
          <w:sz w:val="24"/>
          <w:szCs w:val="24"/>
          <w:lang w:val="uz-Cyrl-UZ"/>
        </w:rPr>
        <w:t xml:space="preserve">naručeno iz kabineta francuskog predsjednika. </w:t>
      </w:r>
      <w:r w:rsidR="00E9316D" w:rsidRPr="00015E88">
        <w:rPr>
          <w:rFonts w:asciiTheme="majorHAnsi" w:eastAsia="Cambria" w:hAnsiTheme="majorHAnsi" w:cs="Times New Roman"/>
          <w:sz w:val="24"/>
          <w:szCs w:val="24"/>
          <w:lang w:val="uz-Cyrl-UZ"/>
        </w:rPr>
        <w:t xml:space="preserve">Francuski sudovi </w:t>
      </w:r>
      <w:r w:rsidR="00DA0AAD" w:rsidRPr="00015E88">
        <w:rPr>
          <w:rFonts w:asciiTheme="majorHAnsi" w:eastAsia="Cambria" w:hAnsiTheme="majorHAnsi" w:cs="Times New Roman"/>
          <w:sz w:val="24"/>
          <w:szCs w:val="24"/>
          <w:lang w:val="uz-Cyrl-UZ"/>
        </w:rPr>
        <w:t xml:space="preserve">su </w:t>
      </w:r>
      <w:r w:rsidR="001256FF" w:rsidRPr="00015E88">
        <w:rPr>
          <w:rFonts w:asciiTheme="majorHAnsi" w:eastAsia="Cambria" w:hAnsiTheme="majorHAnsi" w:cs="Times New Roman"/>
          <w:sz w:val="24"/>
          <w:szCs w:val="24"/>
          <w:lang w:val="uz-Cyrl-UZ"/>
        </w:rPr>
        <w:t xml:space="preserve">proglasili krivim dvojicu novinara za krivično djelo upotrebe informacija dobijenih kršenjem </w:t>
      </w:r>
      <w:r w:rsidR="001256FF" w:rsidRPr="006D0DD8">
        <w:rPr>
          <w:rFonts w:asciiTheme="majorHAnsi" w:eastAsia="Cambria" w:hAnsiTheme="majorHAnsi" w:cs="Times New Roman"/>
          <w:sz w:val="24"/>
          <w:szCs w:val="24"/>
          <w:lang w:val="uz-Cyrl-UZ"/>
        </w:rPr>
        <w:t xml:space="preserve">tajnosti istrage ili profesionalne </w:t>
      </w:r>
      <w:r w:rsidR="006D0DD8">
        <w:rPr>
          <w:rFonts w:asciiTheme="majorHAnsi" w:eastAsia="Cambria" w:hAnsiTheme="majorHAnsi" w:cs="Times New Roman"/>
          <w:sz w:val="24"/>
          <w:szCs w:val="24"/>
          <w:lang w:val="uz-Cyrl-UZ"/>
        </w:rPr>
        <w:t>tajne</w:t>
      </w:r>
      <w:r w:rsidR="00DA7958">
        <w:rPr>
          <w:rFonts w:asciiTheme="majorHAnsi" w:eastAsia="Cambria" w:hAnsiTheme="majorHAnsi" w:cs="Times New Roman"/>
          <w:sz w:val="24"/>
          <w:szCs w:val="24"/>
          <w:lang w:val="uz-Cyrl-UZ"/>
        </w:rPr>
        <w:t>, našavši</w:t>
      </w:r>
      <w:r w:rsidR="006D0DD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 xml:space="preserve">da </w:t>
      </w:r>
      <w:r w:rsidR="006D0DD8">
        <w:rPr>
          <w:rFonts w:asciiTheme="majorHAnsi" w:eastAsia="Cambria" w:hAnsiTheme="majorHAnsi" w:cs="Times New Roman"/>
          <w:sz w:val="24"/>
          <w:szCs w:val="24"/>
          <w:lang w:val="uz-Cyrl-UZ"/>
        </w:rPr>
        <w:t>je</w:t>
      </w:r>
      <w:r w:rsidR="00DA795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objavljivanje materijala m</w:t>
      </w:r>
      <w:r w:rsidR="006D0DD8">
        <w:rPr>
          <w:rFonts w:asciiTheme="majorHAnsi" w:eastAsia="Cambria" w:hAnsiTheme="majorHAnsi" w:cs="Times New Roman"/>
          <w:sz w:val="24"/>
          <w:szCs w:val="24"/>
          <w:lang w:val="uz-Cyrl-UZ"/>
        </w:rPr>
        <w:t>oglo biti štetno po pravo na pravično</w:t>
      </w:r>
      <w:r w:rsidR="007A0833">
        <w:rPr>
          <w:rFonts w:asciiTheme="majorHAnsi" w:eastAsia="Cambria" w:hAnsiTheme="majorHAnsi" w:cs="Times New Roman"/>
          <w:sz w:val="24"/>
          <w:szCs w:val="24"/>
          <w:lang w:val="uz-Cyrl-UZ"/>
        </w:rPr>
        <w:t xml:space="preserve"> suđenje zamjenika</w:t>
      </w:r>
      <w:r w:rsidR="001256FF" w:rsidRPr="00015E88">
        <w:rPr>
          <w:rFonts w:asciiTheme="majorHAnsi" w:eastAsia="Cambria" w:hAnsiTheme="majorHAnsi" w:cs="Times New Roman"/>
          <w:sz w:val="24"/>
          <w:szCs w:val="24"/>
          <w:lang w:val="uz-Cyrl-UZ"/>
        </w:rPr>
        <w:t xml:space="preserve"> direktora </w:t>
      </w:r>
      <w:r w:rsidR="001256FF" w:rsidRPr="006D0DD8">
        <w:rPr>
          <w:rFonts w:asciiTheme="majorHAnsi" w:eastAsia="Cambria" w:hAnsiTheme="majorHAnsi" w:cs="Times New Roman"/>
          <w:sz w:val="24"/>
          <w:szCs w:val="24"/>
          <w:lang w:val="uz-Cyrl-UZ"/>
        </w:rPr>
        <w:t>kabineta</w:t>
      </w:r>
      <w:r w:rsidR="001256FF" w:rsidRPr="00015E88">
        <w:rPr>
          <w:rFonts w:asciiTheme="majorHAnsi" w:eastAsia="Cambria" w:hAnsiTheme="majorHAnsi" w:cs="Times New Roman"/>
          <w:sz w:val="24"/>
          <w:szCs w:val="24"/>
          <w:lang w:val="uz-Cyrl-UZ"/>
        </w:rPr>
        <w:t xml:space="preserve"> predsjednika (koji je bio pod zvaničnom istragom zbog kampanje</w:t>
      </w:r>
      <w:r w:rsidR="00A7521D" w:rsidRPr="00015E88">
        <w:rPr>
          <w:rFonts w:asciiTheme="majorHAnsi" w:eastAsia="Cambria" w:hAnsiTheme="majorHAnsi" w:cs="Times New Roman"/>
          <w:sz w:val="24"/>
          <w:szCs w:val="24"/>
          <w:lang w:val="uz-Cyrl-UZ"/>
        </w:rPr>
        <w:t xml:space="preserve"> nezakonitog prisluškivanja telefona).</w:t>
      </w:r>
    </w:p>
    <w:p w14:paraId="7D2EB08C" w14:textId="77777777" w:rsidR="0020598C" w:rsidRPr="00015E88" w:rsidRDefault="00A7521D"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Ponavljajući na prvom mestu značaj prava na slobodu izražavanja u demokratskom društvu, Evrops</w:t>
      </w:r>
      <w:r w:rsidR="007A0833">
        <w:rPr>
          <w:rFonts w:asciiTheme="majorHAnsi" w:eastAsia="Cambria" w:hAnsiTheme="majorHAnsi" w:cs="Times New Roman"/>
          <w:sz w:val="24"/>
          <w:szCs w:val="24"/>
          <w:lang w:val="uz-Cyrl-UZ"/>
        </w:rPr>
        <w:t>ki sud za ljudska prava je prim</w:t>
      </w:r>
      <w:r w:rsidRPr="00015E88">
        <w:rPr>
          <w:rFonts w:asciiTheme="majorHAnsi" w:eastAsia="Cambria" w:hAnsiTheme="majorHAnsi" w:cs="Times New Roman"/>
          <w:sz w:val="24"/>
          <w:szCs w:val="24"/>
          <w:lang w:val="uz-Cyrl-UZ"/>
        </w:rPr>
        <w:t>jetio da se knjiga ticala rasprave od značajnog ja</w:t>
      </w:r>
      <w:r w:rsidR="00B528C5" w:rsidRPr="00015E88">
        <w:rPr>
          <w:rFonts w:asciiTheme="majorHAnsi" w:eastAsia="Cambria" w:hAnsiTheme="majorHAnsi" w:cs="Times New Roman"/>
          <w:sz w:val="24"/>
          <w:szCs w:val="24"/>
          <w:lang w:val="uz-Cyrl-UZ"/>
        </w:rPr>
        <w:t xml:space="preserve">vnog interesa, i da je zamjenik direktora kabineta </w:t>
      </w:r>
      <w:r w:rsidR="006D0DD8">
        <w:rPr>
          <w:rFonts w:asciiTheme="majorHAnsi" w:eastAsia="Cambria" w:hAnsiTheme="majorHAnsi" w:cs="Times New Roman"/>
          <w:sz w:val="24"/>
          <w:szCs w:val="24"/>
          <w:lang w:val="uz-Cyrl-UZ"/>
        </w:rPr>
        <w:t>p</w:t>
      </w:r>
      <w:r w:rsidR="00B528C5" w:rsidRPr="00015E88">
        <w:rPr>
          <w:rFonts w:asciiTheme="majorHAnsi" w:eastAsia="Cambria" w:hAnsiTheme="majorHAnsi" w:cs="Times New Roman"/>
          <w:sz w:val="24"/>
          <w:szCs w:val="24"/>
          <w:lang w:val="uz-Cyrl-UZ"/>
        </w:rPr>
        <w:t xml:space="preserve">redsjednika bio javna ličnost uključena </w:t>
      </w:r>
      <w:r w:rsidR="00DF5D67" w:rsidRPr="00015E88">
        <w:rPr>
          <w:rFonts w:asciiTheme="majorHAnsi" w:eastAsia="Cambria" w:hAnsiTheme="majorHAnsi" w:cs="Times New Roman"/>
          <w:sz w:val="24"/>
          <w:szCs w:val="24"/>
          <w:lang w:val="uz-Cyrl-UZ"/>
        </w:rPr>
        <w:t xml:space="preserve">u </w:t>
      </w:r>
      <w:r w:rsidR="00B528C5" w:rsidRPr="00015E88">
        <w:rPr>
          <w:rFonts w:asciiTheme="majorHAnsi" w:eastAsia="Cambria" w:hAnsiTheme="majorHAnsi" w:cs="Times New Roman"/>
          <w:sz w:val="24"/>
          <w:szCs w:val="24"/>
          <w:lang w:val="uz-Cyrl-UZ"/>
        </w:rPr>
        <w:t xml:space="preserve">politiku na najvišem nivou. Javnost je imala opravdan interes da </w:t>
      </w:r>
      <w:r w:rsidR="00B528C5" w:rsidRPr="00015E88">
        <w:rPr>
          <w:rFonts w:asciiTheme="majorHAnsi" w:eastAsia="Cambria" w:hAnsiTheme="majorHAnsi" w:cs="Times New Roman"/>
          <w:sz w:val="24"/>
          <w:szCs w:val="24"/>
          <w:lang w:val="uz-Cyrl-UZ"/>
        </w:rPr>
        <w:lastRenderedPageBreak/>
        <w:t>bude informisana o suđenju, a posebno o činjenicama</w:t>
      </w:r>
      <w:r w:rsidR="00932A4C" w:rsidRPr="00015E88">
        <w:rPr>
          <w:rFonts w:asciiTheme="majorHAnsi" w:eastAsia="Cambria" w:hAnsiTheme="majorHAnsi" w:cs="Times New Roman"/>
          <w:sz w:val="24"/>
          <w:szCs w:val="24"/>
          <w:lang w:val="uz-Cyrl-UZ"/>
        </w:rPr>
        <w:t xml:space="preserve"> kojima se bavila knjiga ili koje su u njoj otkrivene. </w:t>
      </w:r>
      <w:r w:rsidR="00DA7958">
        <w:rPr>
          <w:rFonts w:asciiTheme="majorHAnsi" w:eastAsia="Cambria" w:hAnsiTheme="majorHAnsi" w:cs="Times New Roman"/>
          <w:sz w:val="24"/>
          <w:szCs w:val="24"/>
          <w:lang w:val="uz-Cyrl-UZ"/>
        </w:rPr>
        <w:t>Dok se s jedne strane S</w:t>
      </w:r>
      <w:r w:rsidR="007262B8" w:rsidRPr="00015E88">
        <w:rPr>
          <w:rFonts w:asciiTheme="majorHAnsi" w:eastAsia="Cambria" w:hAnsiTheme="majorHAnsi" w:cs="Times New Roman"/>
          <w:sz w:val="24"/>
          <w:szCs w:val="24"/>
          <w:lang w:val="uz-Cyrl-UZ"/>
        </w:rPr>
        <w:t>ud složio da je zaštita sudskog post</w:t>
      </w:r>
      <w:r w:rsidR="00DA7958">
        <w:rPr>
          <w:rFonts w:asciiTheme="majorHAnsi" w:eastAsia="Cambria" w:hAnsiTheme="majorHAnsi" w:cs="Times New Roman"/>
          <w:sz w:val="24"/>
          <w:szCs w:val="24"/>
          <w:lang w:val="uz-Cyrl-UZ"/>
        </w:rPr>
        <w:t xml:space="preserve">upka bila opravdan cilj i da mu je bila potrebna zaštita </w:t>
      </w:r>
      <w:r w:rsidR="00DF5D67" w:rsidRPr="00015E88">
        <w:rPr>
          <w:rFonts w:asciiTheme="majorHAnsi" w:eastAsia="Cambria" w:hAnsiTheme="majorHAnsi" w:cs="Times New Roman"/>
          <w:sz w:val="24"/>
          <w:szCs w:val="24"/>
          <w:lang w:val="uz-Cyrl-UZ"/>
        </w:rPr>
        <w:t>i u odnosu</w:t>
      </w:r>
      <w:r w:rsidR="00DA7958">
        <w:rPr>
          <w:rFonts w:asciiTheme="majorHAnsi" w:eastAsia="Cambria" w:hAnsiTheme="majorHAnsi" w:cs="Times New Roman"/>
          <w:sz w:val="24"/>
          <w:szCs w:val="24"/>
          <w:lang w:val="uz-Cyrl-UZ"/>
        </w:rPr>
        <w:t xml:space="preserve"> na</w:t>
      </w:r>
      <w:r w:rsidR="00DF5D67" w:rsidRPr="00015E88">
        <w:rPr>
          <w:rFonts w:asciiTheme="majorHAnsi" w:eastAsia="Cambria" w:hAnsiTheme="majorHAnsi" w:cs="Times New Roman"/>
          <w:sz w:val="24"/>
          <w:szCs w:val="24"/>
          <w:lang w:val="uz-Cyrl-UZ"/>
        </w:rPr>
        <w:t xml:space="preserve"> </w:t>
      </w:r>
      <w:r w:rsidR="006D0DD8">
        <w:rPr>
          <w:rFonts w:asciiTheme="majorHAnsi" w:eastAsia="Cambria" w:hAnsiTheme="majorHAnsi" w:cs="Times New Roman"/>
          <w:sz w:val="24"/>
          <w:szCs w:val="24"/>
          <w:lang w:val="uz-Cyrl-UZ"/>
        </w:rPr>
        <w:t xml:space="preserve">pravično </w:t>
      </w:r>
      <w:r w:rsidR="00DF5D67" w:rsidRPr="00015E88">
        <w:rPr>
          <w:rFonts w:asciiTheme="majorHAnsi" w:eastAsia="Cambria" w:hAnsiTheme="majorHAnsi" w:cs="Times New Roman"/>
          <w:sz w:val="24"/>
          <w:szCs w:val="24"/>
          <w:lang w:val="uz-Cyrl-UZ"/>
        </w:rPr>
        <w:t>suđenj</w:t>
      </w:r>
      <w:r w:rsidR="006D0DD8">
        <w:rPr>
          <w:rFonts w:asciiTheme="majorHAnsi" w:eastAsia="Cambria" w:hAnsiTheme="majorHAnsi" w:cs="Times New Roman"/>
          <w:sz w:val="24"/>
          <w:szCs w:val="24"/>
          <w:lang w:val="uz-Cyrl-UZ"/>
        </w:rPr>
        <w:t>e</w:t>
      </w:r>
      <w:r w:rsidR="00DF5D67" w:rsidRPr="00015E88">
        <w:rPr>
          <w:rFonts w:asciiTheme="majorHAnsi" w:eastAsia="Cambria" w:hAnsiTheme="majorHAnsi" w:cs="Times New Roman"/>
          <w:sz w:val="24"/>
          <w:szCs w:val="24"/>
          <w:lang w:val="uz-Cyrl-UZ"/>
        </w:rPr>
        <w:t xml:space="preserve"> osobama koje su u pitanju i zbog šireg interesa javnosti u </w:t>
      </w:r>
      <w:r w:rsidR="006D0DD8">
        <w:rPr>
          <w:rFonts w:asciiTheme="majorHAnsi" w:eastAsia="Cambria" w:hAnsiTheme="majorHAnsi" w:cs="Times New Roman"/>
          <w:sz w:val="24"/>
          <w:szCs w:val="24"/>
          <w:lang w:val="uz-Cyrl-UZ"/>
        </w:rPr>
        <w:t>pravilnom</w:t>
      </w:r>
      <w:r w:rsidR="00DF5D67" w:rsidRPr="00015E88">
        <w:rPr>
          <w:rFonts w:asciiTheme="majorHAnsi" w:eastAsia="Cambria" w:hAnsiTheme="majorHAnsi" w:cs="Times New Roman"/>
          <w:sz w:val="24"/>
          <w:szCs w:val="24"/>
          <w:lang w:val="uz-Cyrl-UZ"/>
        </w:rPr>
        <w:t xml:space="preserve"> sprovođenj</w:t>
      </w:r>
      <w:r w:rsidR="006D0DD8">
        <w:rPr>
          <w:rFonts w:asciiTheme="majorHAnsi" w:eastAsia="Cambria" w:hAnsiTheme="majorHAnsi" w:cs="Times New Roman"/>
          <w:sz w:val="24"/>
          <w:szCs w:val="24"/>
          <w:lang w:val="uz-Cyrl-UZ"/>
        </w:rPr>
        <w:t>u</w:t>
      </w:r>
      <w:r w:rsidR="00DF5D67" w:rsidRPr="00015E88">
        <w:rPr>
          <w:rFonts w:asciiTheme="majorHAnsi" w:eastAsia="Cambria" w:hAnsiTheme="majorHAnsi" w:cs="Times New Roman"/>
          <w:sz w:val="24"/>
          <w:szCs w:val="24"/>
          <w:lang w:val="uz-Cyrl-UZ"/>
        </w:rPr>
        <w:t xml:space="preserve"> pravde, Sud je takođe primijetio</w:t>
      </w:r>
      <w:r w:rsidR="001E7E66" w:rsidRPr="00015E88">
        <w:rPr>
          <w:rFonts w:asciiTheme="majorHAnsi" w:eastAsia="Cambria" w:hAnsiTheme="majorHAnsi" w:cs="Times New Roman"/>
          <w:sz w:val="24"/>
          <w:szCs w:val="24"/>
          <w:lang w:val="uz-Cyrl-UZ"/>
        </w:rPr>
        <w:t xml:space="preserve"> da je u vrijeme kad je knjiga objavljena slučaj uveliko bio pokriven u medijima i da su </w:t>
      </w:r>
      <w:r w:rsidR="0073006B" w:rsidRPr="00015E88">
        <w:rPr>
          <w:rFonts w:asciiTheme="majorHAnsi" w:eastAsia="Cambria" w:hAnsiTheme="majorHAnsi" w:cs="Times New Roman"/>
          <w:sz w:val="24"/>
          <w:szCs w:val="24"/>
          <w:lang w:val="uz-Cyrl-UZ"/>
        </w:rPr>
        <w:t>lične prilike zamenika direktora</w:t>
      </w:r>
      <w:r w:rsidR="006D0DD8">
        <w:rPr>
          <w:rFonts w:asciiTheme="majorHAnsi" w:eastAsia="Cambria" w:hAnsiTheme="majorHAnsi" w:cs="Times New Roman"/>
          <w:sz w:val="24"/>
          <w:szCs w:val="24"/>
          <w:lang w:val="uz-Cyrl-UZ"/>
        </w:rPr>
        <w:t xml:space="preserve"> već</w:t>
      </w:r>
      <w:r w:rsidR="0073006B" w:rsidRPr="00015E88">
        <w:rPr>
          <w:rFonts w:asciiTheme="majorHAnsi" w:eastAsia="Cambria" w:hAnsiTheme="majorHAnsi" w:cs="Times New Roman"/>
          <w:sz w:val="24"/>
          <w:szCs w:val="24"/>
          <w:lang w:val="uz-Cyrl-UZ"/>
        </w:rPr>
        <w:t xml:space="preserve"> </w:t>
      </w:r>
      <w:r w:rsidR="001E7E66" w:rsidRPr="00015E88">
        <w:rPr>
          <w:rFonts w:asciiTheme="majorHAnsi" w:eastAsia="Cambria" w:hAnsiTheme="majorHAnsi" w:cs="Times New Roman"/>
          <w:sz w:val="24"/>
          <w:szCs w:val="24"/>
          <w:lang w:val="uz-Cyrl-UZ"/>
        </w:rPr>
        <w:t xml:space="preserve">bile objavljene. </w:t>
      </w:r>
      <w:r w:rsidR="0020598C" w:rsidRPr="00015E88">
        <w:rPr>
          <w:rFonts w:asciiTheme="majorHAnsi" w:eastAsia="Cambria" w:hAnsiTheme="majorHAnsi" w:cs="Times New Roman"/>
          <w:sz w:val="24"/>
          <w:szCs w:val="24"/>
          <w:lang w:val="uz-Cyrl-UZ"/>
        </w:rPr>
        <w:t xml:space="preserve">Sud je preispitivao da li je još uvijek postojao interes u održavanju tajnosti informacija kada je veći dio njih već bio javno dostupan. Sud je takođe primijetio da su novinari poštovali pravila etike. Konstatujući na kraju da </w:t>
      </w:r>
      <w:r w:rsidR="00DA7958">
        <w:rPr>
          <w:rFonts w:asciiTheme="majorHAnsi" w:eastAsia="Cambria" w:hAnsiTheme="majorHAnsi" w:cs="Times New Roman"/>
          <w:sz w:val="24"/>
          <w:szCs w:val="24"/>
          <w:lang w:val="uz-Cyrl-UZ"/>
        </w:rPr>
        <w:t xml:space="preserve">osuda novinara </w:t>
      </w:r>
      <w:r w:rsidR="0020598C" w:rsidRPr="00015E88">
        <w:rPr>
          <w:rFonts w:asciiTheme="majorHAnsi" w:eastAsia="Cambria" w:hAnsiTheme="majorHAnsi" w:cs="Times New Roman"/>
          <w:sz w:val="24"/>
          <w:szCs w:val="24"/>
          <w:lang w:val="uz-Cyrl-UZ"/>
        </w:rPr>
        <w:t>može imati negativan efekat na slobodu medija u zemlji uopšte, Sud je smatrao da je osudom novinara prekršeno pravo na slobodu izražavanja.</w:t>
      </w:r>
    </w:p>
    <w:p w14:paraId="0337E299" w14:textId="77777777" w:rsidR="0020598C" w:rsidRPr="00015E88" w:rsidRDefault="0020598C" w:rsidP="0020598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Draksas protiv Litvanije</w:t>
      </w:r>
      <w:r w:rsidRPr="00015E88">
        <w:rPr>
          <w:rFonts w:asciiTheme="majorHAnsi" w:eastAsia="Cambria" w:hAnsiTheme="majorHAnsi" w:cs="Times New Roman"/>
          <w:sz w:val="24"/>
          <w:szCs w:val="24"/>
          <w:lang w:val="uz-Cyrl-UZ"/>
        </w:rPr>
        <w:t xml:space="preserve">, predstavka br. 36662/04, presuda 31. jul 2012: </w:t>
      </w:r>
      <w:r w:rsidR="00D9792E" w:rsidRPr="00015E88">
        <w:rPr>
          <w:rFonts w:asciiTheme="majorHAnsi" w:eastAsia="Cambria" w:hAnsiTheme="majorHAnsi" w:cs="Times New Roman"/>
          <w:sz w:val="24"/>
          <w:szCs w:val="24"/>
          <w:highlight w:val="yellow"/>
          <w:lang w:val="uz-Cyrl-UZ"/>
        </w:rPr>
        <w:t>propustom da se zaštiti sadržaj presretnutog telefonskog poziva je prekršeno pravo na privatan život</w:t>
      </w:r>
    </w:p>
    <w:p w14:paraId="11FCC540" w14:textId="77777777" w:rsidR="00D9792E"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Ovaj slučaj se odnosio na nekoliko navodnih kršenja prava na privatnost litvanskog državnog službenika, uključujući „curenje“</w:t>
      </w:r>
      <w:r w:rsidR="007A0833">
        <w:rPr>
          <w:rFonts w:asciiTheme="majorHAnsi" w:eastAsia="Cambria" w:hAnsiTheme="majorHAnsi" w:cs="Times New Roman"/>
          <w:sz w:val="24"/>
          <w:szCs w:val="24"/>
          <w:lang w:val="uz-Cyrl-UZ"/>
        </w:rPr>
        <w:t xml:space="preserve"> transkripta</w:t>
      </w:r>
      <w:r w:rsidR="00DA795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telefonskog razgovora koji je snimljen kao dio sudske istrage. On se žalio Evropskom sudu za ljudska prava, nakon što je bezuspješno pred domaćim sudovima pokušao da dokaže da je </w:t>
      </w:r>
      <w:r w:rsidR="007A0833">
        <w:rPr>
          <w:rFonts w:asciiTheme="majorHAnsi" w:eastAsia="Cambria" w:hAnsiTheme="majorHAnsi" w:cs="Times New Roman"/>
          <w:sz w:val="24"/>
          <w:szCs w:val="24"/>
          <w:lang w:val="uz-Cyrl-UZ"/>
        </w:rPr>
        <w:t>na taj način</w:t>
      </w:r>
      <w:r w:rsidR="00DA7958">
        <w:rPr>
          <w:rFonts w:asciiTheme="majorHAnsi" w:eastAsia="Cambria" w:hAnsiTheme="majorHAnsi" w:cs="Times New Roman"/>
          <w:sz w:val="24"/>
          <w:szCs w:val="24"/>
          <w:lang w:val="uz-Cyrl-UZ"/>
        </w:rPr>
        <w:t xml:space="preserve"> prekr</w:t>
      </w:r>
      <w:r w:rsidRPr="00015E88">
        <w:rPr>
          <w:rFonts w:asciiTheme="majorHAnsi" w:eastAsia="Cambria" w:hAnsiTheme="majorHAnsi" w:cs="Times New Roman"/>
          <w:sz w:val="24"/>
          <w:szCs w:val="24"/>
          <w:lang w:val="uz-Cyrl-UZ"/>
        </w:rPr>
        <w:t>šeno njegovo prav</w:t>
      </w:r>
      <w:r w:rsidR="007A0833">
        <w:rPr>
          <w:rFonts w:asciiTheme="majorHAnsi" w:eastAsia="Cambria" w:hAnsiTheme="majorHAnsi" w:cs="Times New Roman"/>
          <w:sz w:val="24"/>
          <w:szCs w:val="24"/>
          <w:lang w:val="uz-Cyrl-UZ"/>
        </w:rPr>
        <w:t>o na poštovanje privatnosti</w:t>
      </w:r>
      <w:r w:rsidRPr="00015E88">
        <w:rPr>
          <w:rFonts w:asciiTheme="majorHAnsi" w:eastAsia="Cambria" w:hAnsiTheme="majorHAnsi" w:cs="Times New Roman"/>
          <w:sz w:val="24"/>
          <w:szCs w:val="24"/>
          <w:lang w:val="uz-Cyrl-UZ"/>
        </w:rPr>
        <w:t>.</w:t>
      </w:r>
    </w:p>
    <w:p w14:paraId="2927EE89" w14:textId="77777777" w:rsidR="003E7A71"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Sud je konstatovao</w:t>
      </w:r>
      <w:r w:rsidR="007A0833">
        <w:rPr>
          <w:rFonts w:asciiTheme="majorHAnsi" w:eastAsia="Cambria" w:hAnsiTheme="majorHAnsi" w:cs="Times New Roman"/>
          <w:sz w:val="24"/>
          <w:szCs w:val="24"/>
          <w:lang w:val="uz-Cyrl-UZ"/>
        </w:rPr>
        <w:t xml:space="preserve"> da, uprkos zakonskim odredbama</w:t>
      </w:r>
      <w:r w:rsidR="00DA7958">
        <w:rPr>
          <w:rFonts w:asciiTheme="majorHAnsi" w:eastAsia="Cambria" w:hAnsiTheme="majorHAnsi" w:cs="Times New Roman"/>
          <w:sz w:val="24"/>
          <w:szCs w:val="24"/>
          <w:lang w:val="uz-Cyrl-UZ"/>
        </w:rPr>
        <w:t xml:space="preserve"> koje su osmišljene da </w:t>
      </w:r>
      <w:r w:rsidRPr="00015E88">
        <w:rPr>
          <w:rFonts w:asciiTheme="majorHAnsi" w:eastAsia="Cambria" w:hAnsiTheme="majorHAnsi" w:cs="Times New Roman"/>
          <w:sz w:val="24"/>
          <w:szCs w:val="24"/>
          <w:lang w:val="uz-Cyrl-UZ"/>
        </w:rPr>
        <w:t>štite pravo na privatnost, pravo gospodina Drak</w:t>
      </w:r>
      <w:r w:rsidR="007A0833">
        <w:rPr>
          <w:rFonts w:asciiTheme="majorHAnsi" w:eastAsia="Cambria" w:hAnsiTheme="majorHAnsi" w:cs="Times New Roman"/>
          <w:sz w:val="24"/>
          <w:szCs w:val="24"/>
          <w:lang w:val="uz-Cyrl-UZ"/>
        </w:rPr>
        <w:t>s</w:t>
      </w:r>
      <w:r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na privatnost u praksi nije poštovano. Iako je javnost imala pravo da bude obaviještena o pitanjima od javnog interesa, državne vlasti su bile dužne da osiguraju da materijal dobijen putem tajnih metoda bude</w:t>
      </w:r>
      <w:r w:rsidR="00727893" w:rsidRPr="00015E88">
        <w:rPr>
          <w:rFonts w:asciiTheme="majorHAnsi" w:eastAsia="Cambria" w:hAnsiTheme="majorHAnsi" w:cs="Times New Roman"/>
          <w:sz w:val="24"/>
          <w:szCs w:val="24"/>
          <w:lang w:val="uz-Cyrl-UZ"/>
        </w:rPr>
        <w:t xml:space="preserve"> zaštićen. </w:t>
      </w:r>
      <w:r w:rsidR="007A0833">
        <w:rPr>
          <w:rFonts w:asciiTheme="majorHAnsi" w:eastAsia="Cambria" w:hAnsiTheme="majorHAnsi" w:cs="Times New Roman"/>
          <w:sz w:val="24"/>
          <w:szCs w:val="24"/>
          <w:lang w:val="uz-Cyrl-UZ"/>
        </w:rPr>
        <w:t>Sud je posebno konstatovao i</w:t>
      </w:r>
      <w:r w:rsidR="00727893" w:rsidRPr="00015E88">
        <w:rPr>
          <w:rFonts w:asciiTheme="majorHAnsi" w:eastAsia="Cambria" w:hAnsiTheme="majorHAnsi" w:cs="Times New Roman"/>
          <w:sz w:val="24"/>
          <w:szCs w:val="24"/>
          <w:lang w:val="uz-Cyrl-UZ"/>
        </w:rPr>
        <w:t xml:space="preserve"> da</w:t>
      </w:r>
      <w:r w:rsidRPr="00015E88">
        <w:rPr>
          <w:rFonts w:asciiTheme="majorHAnsi" w:eastAsia="Cambria" w:hAnsiTheme="majorHAnsi" w:cs="Times New Roman"/>
          <w:sz w:val="24"/>
          <w:szCs w:val="24"/>
          <w:lang w:val="uz-Cyrl-UZ"/>
        </w:rPr>
        <w:t xml:space="preserve"> izvor "curenj</w:t>
      </w:r>
      <w:r w:rsidR="00727893" w:rsidRPr="00015E88">
        <w:rPr>
          <w:rFonts w:asciiTheme="majorHAnsi" w:eastAsia="Cambria" w:hAnsiTheme="majorHAnsi" w:cs="Times New Roman"/>
          <w:sz w:val="24"/>
          <w:szCs w:val="24"/>
          <w:lang w:val="uz-Cyrl-UZ"/>
        </w:rPr>
        <w:t>a" nikada nije identifikovan</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i našao</w:t>
      </w:r>
      <w:r w:rsidRPr="00015E88">
        <w:rPr>
          <w:rFonts w:asciiTheme="majorHAnsi" w:eastAsia="Cambria" w:hAnsiTheme="majorHAnsi" w:cs="Times New Roman"/>
          <w:sz w:val="24"/>
          <w:szCs w:val="24"/>
          <w:lang w:val="uz-Cyrl-UZ"/>
        </w:rPr>
        <w:t xml:space="preserve"> da </w:t>
      </w:r>
      <w:r w:rsidR="00727893" w:rsidRPr="00015E88">
        <w:rPr>
          <w:rFonts w:asciiTheme="majorHAnsi" w:eastAsia="Cambria" w:hAnsiTheme="majorHAnsi" w:cs="Times New Roman"/>
          <w:sz w:val="24"/>
          <w:szCs w:val="24"/>
          <w:lang w:val="uz-Cyrl-UZ"/>
        </w:rPr>
        <w:t xml:space="preserve">je </w:t>
      </w:r>
      <w:r w:rsidRPr="00015E88">
        <w:rPr>
          <w:rFonts w:asciiTheme="majorHAnsi" w:eastAsia="Cambria" w:hAnsiTheme="majorHAnsi" w:cs="Times New Roman"/>
          <w:sz w:val="24"/>
          <w:szCs w:val="24"/>
          <w:lang w:val="uz-Cyrl-UZ"/>
        </w:rPr>
        <w:t xml:space="preserve">pravo </w:t>
      </w:r>
      <w:r w:rsidR="00727893" w:rsidRPr="00015E88">
        <w:rPr>
          <w:rFonts w:asciiTheme="majorHAnsi" w:eastAsia="Cambria" w:hAnsiTheme="majorHAnsi" w:cs="Times New Roman"/>
          <w:sz w:val="24"/>
          <w:szCs w:val="24"/>
          <w:lang w:val="uz-Cyrl-UZ"/>
        </w:rPr>
        <w:t>Drak</w:t>
      </w:r>
      <w:r w:rsidR="007A0833">
        <w:rPr>
          <w:rFonts w:asciiTheme="majorHAnsi" w:eastAsia="Cambria" w:hAnsiTheme="majorHAnsi" w:cs="Times New Roman"/>
          <w:sz w:val="24"/>
          <w:szCs w:val="24"/>
          <w:lang w:val="uz-Cyrl-UZ"/>
        </w:rPr>
        <w:t>s</w:t>
      </w:r>
      <w:r w:rsidR="00727893"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00727893" w:rsidRPr="00015E88">
        <w:rPr>
          <w:rFonts w:asciiTheme="majorHAnsi" w:eastAsia="Cambria" w:hAnsiTheme="majorHAnsi" w:cs="Times New Roman"/>
          <w:sz w:val="24"/>
          <w:szCs w:val="24"/>
          <w:lang w:val="uz-Cyrl-UZ"/>
        </w:rPr>
        <w:t xml:space="preserve"> na poštovanje privatnosti</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bilo </w:t>
      </w:r>
      <w:r w:rsidR="00727893" w:rsidRPr="00015E88">
        <w:rPr>
          <w:rFonts w:asciiTheme="majorHAnsi" w:eastAsia="Cambria" w:hAnsiTheme="majorHAnsi" w:cs="Times New Roman"/>
          <w:sz w:val="24"/>
          <w:szCs w:val="24"/>
          <w:lang w:val="uz-Cyrl-UZ"/>
        </w:rPr>
        <w:t>povrijeđeno.</w:t>
      </w:r>
    </w:p>
    <w:p w14:paraId="7BF6D6C8" w14:textId="77777777" w:rsidR="00727893" w:rsidRPr="00015E88" w:rsidRDefault="00727893" w:rsidP="00727893">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Pinto Coelho protiv Portugala</w:t>
      </w:r>
      <w:r w:rsidRPr="00015E88">
        <w:rPr>
          <w:rFonts w:asciiTheme="majorHAnsi" w:eastAsia="Cambria" w:hAnsiTheme="majorHAnsi" w:cs="Times New Roman"/>
          <w:sz w:val="24"/>
          <w:szCs w:val="24"/>
          <w:lang w:val="uz-Cyrl-UZ"/>
        </w:rPr>
        <w:t xml:space="preserve">, predstavka br. 28439/08, presuda od 28. juna 2011: </w:t>
      </w:r>
      <w:r w:rsidRPr="00015E88">
        <w:rPr>
          <w:rFonts w:asciiTheme="majorHAnsi" w:eastAsia="Cambria" w:hAnsiTheme="majorHAnsi" w:cs="Times New Roman"/>
          <w:sz w:val="24"/>
          <w:szCs w:val="24"/>
          <w:highlight w:val="yellow"/>
          <w:lang w:val="uz-Cyrl-UZ"/>
        </w:rPr>
        <w:t>propustom domaćih sudova da uzmu u obzir javni interes u izvještavanju</w:t>
      </w:r>
      <w:r w:rsidR="007A0833">
        <w:rPr>
          <w:rFonts w:asciiTheme="majorHAnsi" w:eastAsia="Cambria" w:hAnsiTheme="majorHAnsi" w:cs="Times New Roman"/>
          <w:sz w:val="24"/>
          <w:szCs w:val="24"/>
          <w:highlight w:val="yellow"/>
          <w:lang w:val="uz-Cyrl-UZ"/>
        </w:rPr>
        <w:t xml:space="preserve"> medija o krivičnom postupku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14:paraId="479AAEC4" w14:textId="77777777" w:rsidR="00727893" w:rsidRPr="00015E88" w:rsidRDefault="00A8400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portugalske novinarke</w:t>
      </w:r>
      <w:r w:rsidR="007A0833">
        <w:rPr>
          <w:rFonts w:asciiTheme="majorHAnsi" w:eastAsia="Cambria" w:hAnsiTheme="majorHAnsi" w:cs="Times New Roman"/>
          <w:sz w:val="24"/>
          <w:szCs w:val="24"/>
          <w:lang w:val="uz-Cyrl-UZ"/>
        </w:rPr>
        <w:t>,</w:t>
      </w:r>
      <w:r w:rsidR="00727893" w:rsidRPr="00015E88">
        <w:rPr>
          <w:rFonts w:asciiTheme="majorHAnsi" w:eastAsia="Cambria" w:hAnsiTheme="majorHAnsi" w:cs="Times New Roman"/>
          <w:sz w:val="24"/>
          <w:szCs w:val="24"/>
          <w:lang w:val="uz-Cyrl-UZ"/>
        </w:rPr>
        <w:t xml:space="preserve"> koj</w:t>
      </w:r>
      <w:r w:rsidRPr="00015E88">
        <w:rPr>
          <w:rFonts w:asciiTheme="majorHAnsi" w:eastAsia="Cambria" w:hAnsiTheme="majorHAnsi" w:cs="Times New Roman"/>
          <w:sz w:val="24"/>
          <w:szCs w:val="24"/>
          <w:lang w:val="uz-Cyrl-UZ"/>
        </w:rPr>
        <w:t>a je emitovala prilog o bivšem</w:t>
      </w:r>
      <w:r w:rsidR="00727893" w:rsidRPr="00015E88">
        <w:rPr>
          <w:rFonts w:asciiTheme="majorHAnsi" w:eastAsia="Cambria" w:hAnsiTheme="majorHAnsi" w:cs="Times New Roman"/>
          <w:sz w:val="24"/>
          <w:szCs w:val="24"/>
          <w:lang w:val="uz-Cyrl-UZ"/>
        </w:rPr>
        <w:t xml:space="preserve"> generalno</w:t>
      </w:r>
      <w:r w:rsidRPr="00015E88">
        <w:rPr>
          <w:rFonts w:asciiTheme="majorHAnsi" w:eastAsia="Cambria" w:hAnsiTheme="majorHAnsi" w:cs="Times New Roman"/>
          <w:sz w:val="24"/>
          <w:szCs w:val="24"/>
          <w:lang w:val="uz-Cyrl-UZ"/>
        </w:rPr>
        <w:t>m direktoru</w:t>
      </w:r>
      <w:r w:rsidR="00727893" w:rsidRPr="00015E88">
        <w:rPr>
          <w:rFonts w:asciiTheme="majorHAnsi" w:eastAsia="Cambria" w:hAnsiTheme="majorHAnsi" w:cs="Times New Roman"/>
          <w:sz w:val="24"/>
          <w:szCs w:val="24"/>
          <w:lang w:val="uz-Cyrl-UZ"/>
        </w:rPr>
        <w:t xml:space="preserve"> Odsjeka za krivične istrage</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koji je </w:t>
      </w:r>
      <w:r w:rsidR="007A0833">
        <w:rPr>
          <w:rFonts w:asciiTheme="majorHAnsi" w:eastAsia="Cambria" w:hAnsiTheme="majorHAnsi" w:cs="Times New Roman"/>
          <w:sz w:val="24"/>
          <w:szCs w:val="24"/>
          <w:lang w:val="uz-Cyrl-UZ"/>
        </w:rPr>
        <w:t>neposredno prije toga</w:t>
      </w:r>
      <w:r w:rsidRPr="00015E88">
        <w:rPr>
          <w:rFonts w:asciiTheme="majorHAnsi" w:eastAsia="Cambria" w:hAnsiTheme="majorHAnsi" w:cs="Times New Roman"/>
          <w:sz w:val="24"/>
          <w:szCs w:val="24"/>
          <w:lang w:val="uz-Cyrl-UZ"/>
        </w:rPr>
        <w:t xml:space="preserve"> bio smijenjen i optužen za kršenje tajnosti sudskog postupka. Mediji su nekoliko mjeseci izvještavali da je generalni direktor mogao biti odgovoran za „curenje“ informacija o slučaju koji se ticao računa privatnog univerziteta i privrednog društva. </w:t>
      </w:r>
      <w:r w:rsidR="007A0833">
        <w:rPr>
          <w:rFonts w:asciiTheme="majorHAnsi" w:eastAsia="Cambria" w:hAnsiTheme="majorHAnsi" w:cs="Times New Roman"/>
          <w:sz w:val="24"/>
          <w:szCs w:val="24"/>
          <w:lang w:val="uz-Cyrl-UZ"/>
        </w:rPr>
        <w:t>Novinarka je</w:t>
      </w:r>
      <w:r w:rsidRPr="00015E88">
        <w:rPr>
          <w:rFonts w:asciiTheme="majorHAnsi" w:eastAsia="Cambria" w:hAnsiTheme="majorHAnsi" w:cs="Times New Roman"/>
          <w:sz w:val="24"/>
          <w:szCs w:val="24"/>
          <w:lang w:val="uz-Cyrl-UZ"/>
        </w:rPr>
        <w:t xml:space="preserve"> prikazala </w:t>
      </w:r>
      <w:r w:rsidR="008A6E74" w:rsidRPr="00015E88">
        <w:rPr>
          <w:rFonts w:asciiTheme="majorHAnsi" w:eastAsia="Cambria" w:hAnsiTheme="majorHAnsi" w:cs="Times New Roman"/>
          <w:sz w:val="24"/>
          <w:szCs w:val="24"/>
          <w:lang w:val="uz-Cyrl-UZ"/>
        </w:rPr>
        <w:t xml:space="preserve">gledaocima kopiju optužnice i dokument državnog tužioca kojim je pokrenuta istraga. Suđeno joj je zbog objavljivanja „kopije dokumenta iz spisa predmeta u postupku prije </w:t>
      </w:r>
      <w:r w:rsidR="00DA7958">
        <w:rPr>
          <w:rFonts w:asciiTheme="majorHAnsi" w:eastAsia="Cambria" w:hAnsiTheme="majorHAnsi" w:cs="Times New Roman"/>
          <w:sz w:val="24"/>
          <w:szCs w:val="24"/>
          <w:lang w:val="uz-Cyrl-UZ"/>
        </w:rPr>
        <w:t xml:space="preserve">donošenja </w:t>
      </w:r>
      <w:r w:rsidR="008A6E74" w:rsidRPr="00015E88">
        <w:rPr>
          <w:rFonts w:asciiTheme="majorHAnsi" w:eastAsia="Cambria" w:hAnsiTheme="majorHAnsi" w:cs="Times New Roman"/>
          <w:sz w:val="24"/>
          <w:szCs w:val="24"/>
          <w:lang w:val="uz-Cyrl-UZ"/>
        </w:rPr>
        <w:t>prvostepene presude“ i dosuđena joj je novčana kazna od 400 €.</w:t>
      </w:r>
    </w:p>
    <w:p w14:paraId="142F75A4" w14:textId="77777777" w:rsidR="008A6E74" w:rsidRPr="00015E88" w:rsidRDefault="008A6E7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Evropski sud za ljudska prava je našao da je osudom prekršeno pravo na slobodu izražavanja. Sud je ponovio da su mediji imali zadatak da saopštavaju informacije i ideje o svim pitanjima od javnog interesa, iako su morali biti oprezni da se ne krše prava i interese drugih. Sud je takođe prim</w:t>
      </w:r>
      <w:r w:rsidR="0063346E" w:rsidRPr="00015E88">
        <w:rPr>
          <w:rFonts w:asciiTheme="majorHAnsi" w:eastAsia="Cambria" w:hAnsiTheme="majorHAnsi" w:cs="Times New Roman"/>
          <w:sz w:val="24"/>
          <w:szCs w:val="24"/>
          <w:lang w:val="uz-Cyrl-UZ"/>
        </w:rPr>
        <w:t>ij</w:t>
      </w:r>
      <w:r w:rsidRPr="00015E88">
        <w:rPr>
          <w:rFonts w:asciiTheme="majorHAnsi" w:eastAsia="Cambria" w:hAnsiTheme="majorHAnsi" w:cs="Times New Roman"/>
          <w:sz w:val="24"/>
          <w:szCs w:val="24"/>
          <w:lang w:val="uz-Cyrl-UZ"/>
        </w:rPr>
        <w:t xml:space="preserve">etio da </w:t>
      </w:r>
      <w:r w:rsidR="00BC4E6C" w:rsidRPr="00015E88">
        <w:rPr>
          <w:rFonts w:asciiTheme="majorHAnsi" w:eastAsia="Cambria" w:hAnsiTheme="majorHAnsi" w:cs="Times New Roman"/>
          <w:sz w:val="24"/>
          <w:szCs w:val="24"/>
          <w:lang w:val="uz-Cyrl-UZ"/>
        </w:rPr>
        <w:t>mediji</w:t>
      </w:r>
      <w:r w:rsidR="0063346E" w:rsidRPr="00015E88">
        <w:rPr>
          <w:lang w:val="uz-Cyrl-UZ"/>
        </w:rPr>
        <w:t xml:space="preserve"> </w:t>
      </w:r>
      <w:r w:rsidR="0063346E" w:rsidRPr="00015E88">
        <w:rPr>
          <w:rFonts w:asciiTheme="majorHAnsi" w:eastAsia="Cambria" w:hAnsiTheme="majorHAnsi" w:cs="Times New Roman"/>
          <w:sz w:val="24"/>
          <w:szCs w:val="24"/>
          <w:lang w:val="uz-Cyrl-UZ"/>
        </w:rPr>
        <w:t xml:space="preserve">prilikom izveštavanja o </w:t>
      </w:r>
      <w:r w:rsidR="00BC4E6C">
        <w:rPr>
          <w:rFonts w:asciiTheme="majorHAnsi" w:eastAsia="Cambria" w:hAnsiTheme="majorHAnsi" w:cs="Times New Roman"/>
          <w:sz w:val="24"/>
          <w:szCs w:val="24"/>
          <w:lang w:val="uz-Cyrl-UZ"/>
        </w:rPr>
        <w:t xml:space="preserve">sudskim </w:t>
      </w:r>
      <w:r w:rsidR="00BC4E6C">
        <w:rPr>
          <w:rFonts w:asciiTheme="majorHAnsi" w:eastAsia="Cambria" w:hAnsiTheme="majorHAnsi" w:cs="Times New Roman"/>
          <w:sz w:val="24"/>
          <w:szCs w:val="24"/>
          <w:lang w:val="uz-Cyrl-UZ"/>
        </w:rPr>
        <w:lastRenderedPageBreak/>
        <w:t>postupcima</w:t>
      </w:r>
      <w:r w:rsidR="0063346E" w:rsidRPr="00015E8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treba da se uzdrže od objavljivanja bilo </w:t>
      </w:r>
      <w:r w:rsidR="0063346E" w:rsidRPr="00015E88">
        <w:rPr>
          <w:rFonts w:asciiTheme="majorHAnsi" w:eastAsia="Cambria" w:hAnsiTheme="majorHAnsi" w:cs="Times New Roman"/>
          <w:sz w:val="24"/>
          <w:szCs w:val="24"/>
          <w:lang w:val="uz-Cyrl-UZ"/>
        </w:rPr>
        <w:t>čega što bi moglo</w:t>
      </w:r>
      <w:r w:rsidRPr="00015E88">
        <w:rPr>
          <w:rFonts w:asciiTheme="majorHAnsi" w:eastAsia="Cambria" w:hAnsiTheme="majorHAnsi" w:cs="Times New Roman"/>
          <w:sz w:val="24"/>
          <w:szCs w:val="24"/>
          <w:lang w:val="uz-Cyrl-UZ"/>
        </w:rPr>
        <w:t xml:space="preserve"> uticati na šanse </w:t>
      </w:r>
      <w:r w:rsidR="0063346E" w:rsidRPr="00015E88">
        <w:rPr>
          <w:rFonts w:asciiTheme="majorHAnsi" w:eastAsia="Cambria" w:hAnsiTheme="majorHAnsi" w:cs="Times New Roman"/>
          <w:sz w:val="24"/>
          <w:szCs w:val="24"/>
          <w:lang w:val="uz-Cyrl-UZ"/>
        </w:rPr>
        <w:t xml:space="preserve">da osoba ima </w:t>
      </w:r>
      <w:r w:rsidRPr="00015E88">
        <w:rPr>
          <w:rFonts w:asciiTheme="majorHAnsi" w:eastAsia="Cambria" w:hAnsiTheme="majorHAnsi" w:cs="Times New Roman"/>
          <w:sz w:val="24"/>
          <w:szCs w:val="24"/>
          <w:lang w:val="uz-Cyrl-UZ"/>
        </w:rPr>
        <w:t xml:space="preserve">pravično suđenje ili </w:t>
      </w:r>
      <w:r w:rsidR="0063346E" w:rsidRPr="00015E88">
        <w:rPr>
          <w:rFonts w:asciiTheme="majorHAnsi" w:eastAsia="Cambria" w:hAnsiTheme="majorHAnsi" w:cs="Times New Roman"/>
          <w:sz w:val="24"/>
          <w:szCs w:val="24"/>
          <w:lang w:val="uz-Cyrl-UZ"/>
        </w:rPr>
        <w:t xml:space="preserve">što bi podrivalo poverenje javnosti u ulogu </w:t>
      </w:r>
      <w:r w:rsidRPr="00015E88">
        <w:rPr>
          <w:rFonts w:asciiTheme="majorHAnsi" w:eastAsia="Cambria" w:hAnsiTheme="majorHAnsi" w:cs="Times New Roman"/>
          <w:sz w:val="24"/>
          <w:szCs w:val="24"/>
          <w:lang w:val="uz-Cyrl-UZ"/>
        </w:rPr>
        <w:t>su</w:t>
      </w:r>
      <w:r w:rsidR="0063346E" w:rsidRPr="00015E88">
        <w:rPr>
          <w:rFonts w:asciiTheme="majorHAnsi" w:eastAsia="Cambria" w:hAnsiTheme="majorHAnsi" w:cs="Times New Roman"/>
          <w:sz w:val="24"/>
          <w:szCs w:val="24"/>
          <w:lang w:val="uz-Cyrl-UZ"/>
        </w:rPr>
        <w:t xml:space="preserve">dova. Međutim, u slučaju </w:t>
      </w:r>
      <w:r w:rsidR="00BC4E6C">
        <w:rPr>
          <w:rFonts w:asciiTheme="majorHAnsi" w:eastAsia="Cambria" w:hAnsiTheme="majorHAnsi" w:cs="Times New Roman"/>
          <w:sz w:val="24"/>
          <w:szCs w:val="24"/>
          <w:lang w:val="uz-Cyrl-UZ"/>
        </w:rPr>
        <w:t>novinarke</w:t>
      </w:r>
      <w:r w:rsidRPr="00015E88">
        <w:rPr>
          <w:rFonts w:asciiTheme="majorHAnsi" w:eastAsia="Cambria" w:hAnsiTheme="majorHAnsi" w:cs="Times New Roman"/>
          <w:sz w:val="24"/>
          <w:szCs w:val="24"/>
          <w:lang w:val="uz-Cyrl-UZ"/>
        </w:rPr>
        <w:t xml:space="preserve"> Pin</w:t>
      </w:r>
      <w:r w:rsidR="0063346E" w:rsidRPr="00015E88">
        <w:rPr>
          <w:rFonts w:asciiTheme="majorHAnsi" w:eastAsia="Cambria" w:hAnsiTheme="majorHAnsi" w:cs="Times New Roman"/>
          <w:sz w:val="24"/>
          <w:szCs w:val="24"/>
          <w:lang w:val="uz-Cyrl-UZ"/>
        </w:rPr>
        <w:t>to Coelho, Sud je istakao da se prilog o kojem je riječ jasno bavio pitanjima</w:t>
      </w:r>
      <w:r w:rsidRPr="00015E88">
        <w:rPr>
          <w:rFonts w:asciiTheme="majorHAnsi" w:eastAsia="Cambria" w:hAnsiTheme="majorHAnsi" w:cs="Times New Roman"/>
          <w:sz w:val="24"/>
          <w:szCs w:val="24"/>
          <w:lang w:val="uz-Cyrl-UZ"/>
        </w:rPr>
        <w:t xml:space="preserve"> od javnog interesa, jer </w:t>
      </w:r>
      <w:r w:rsidR="0063346E" w:rsidRPr="00015E88">
        <w:rPr>
          <w:rFonts w:asciiTheme="majorHAnsi" w:eastAsia="Cambria" w:hAnsiTheme="majorHAnsi" w:cs="Times New Roman"/>
          <w:sz w:val="24"/>
          <w:szCs w:val="24"/>
          <w:lang w:val="uz-Cyrl-UZ"/>
        </w:rPr>
        <w:t xml:space="preserve">je osoba o kojoj </w:t>
      </w:r>
      <w:r w:rsidR="00DA7958">
        <w:rPr>
          <w:rFonts w:asciiTheme="majorHAnsi" w:eastAsia="Cambria" w:hAnsiTheme="majorHAnsi" w:cs="Times New Roman"/>
          <w:sz w:val="24"/>
          <w:szCs w:val="24"/>
          <w:lang w:val="uz-Cyrl-UZ"/>
        </w:rPr>
        <w:t xml:space="preserve">se radilo </w:t>
      </w:r>
      <w:r w:rsidR="0063346E" w:rsidRPr="00015E88">
        <w:rPr>
          <w:rFonts w:asciiTheme="majorHAnsi" w:eastAsia="Cambria" w:hAnsiTheme="majorHAnsi" w:cs="Times New Roman"/>
          <w:sz w:val="24"/>
          <w:szCs w:val="24"/>
          <w:lang w:val="uz-Cyrl-UZ"/>
        </w:rPr>
        <w:t xml:space="preserve">bila </w:t>
      </w:r>
      <w:r w:rsidRPr="00015E88">
        <w:rPr>
          <w:rFonts w:asciiTheme="majorHAnsi" w:eastAsia="Cambria" w:hAnsiTheme="majorHAnsi" w:cs="Times New Roman"/>
          <w:sz w:val="24"/>
          <w:szCs w:val="24"/>
          <w:lang w:val="uz-Cyrl-UZ"/>
        </w:rPr>
        <w:t>generalni dir</w:t>
      </w:r>
      <w:r w:rsidR="0063346E" w:rsidRPr="00015E88">
        <w:rPr>
          <w:rFonts w:asciiTheme="majorHAnsi" w:eastAsia="Cambria" w:hAnsiTheme="majorHAnsi" w:cs="Times New Roman"/>
          <w:sz w:val="24"/>
          <w:szCs w:val="24"/>
          <w:lang w:val="uz-Cyrl-UZ"/>
        </w:rPr>
        <w:t>ektor sudske policije. Portugalski</w:t>
      </w:r>
      <w:r w:rsidRPr="00015E88">
        <w:rPr>
          <w:rFonts w:asciiTheme="majorHAnsi" w:eastAsia="Cambria" w:hAnsiTheme="majorHAnsi" w:cs="Times New Roman"/>
          <w:sz w:val="24"/>
          <w:szCs w:val="24"/>
          <w:lang w:val="uz-Cyrl-UZ"/>
        </w:rPr>
        <w:t xml:space="preserve"> sudovi nisu uzeli u obzir značaj prava na slobodu izražavanja, niti su </w:t>
      </w:r>
      <w:r w:rsidR="0063346E" w:rsidRPr="00015E88">
        <w:rPr>
          <w:rFonts w:asciiTheme="majorHAnsi" w:eastAsia="Cambria" w:hAnsiTheme="majorHAnsi" w:cs="Times New Roman"/>
          <w:sz w:val="24"/>
          <w:szCs w:val="24"/>
          <w:lang w:val="uz-Cyrl-UZ"/>
        </w:rPr>
        <w:t xml:space="preserve">razmatrali </w:t>
      </w:r>
      <w:r w:rsidR="00BC4E6C">
        <w:rPr>
          <w:rFonts w:asciiTheme="majorHAnsi" w:eastAsia="Cambria" w:hAnsiTheme="majorHAnsi" w:cs="Times New Roman"/>
          <w:sz w:val="24"/>
          <w:szCs w:val="24"/>
          <w:lang w:val="uz-Cyrl-UZ"/>
        </w:rPr>
        <w:t xml:space="preserve">pitanje </w:t>
      </w:r>
      <w:r w:rsidR="0063346E" w:rsidRPr="00015E88">
        <w:rPr>
          <w:rFonts w:asciiTheme="majorHAnsi" w:eastAsia="Cambria" w:hAnsiTheme="majorHAnsi" w:cs="Times New Roman"/>
          <w:sz w:val="24"/>
          <w:szCs w:val="24"/>
          <w:lang w:val="uz-Cyrl-UZ"/>
        </w:rPr>
        <w:t xml:space="preserve">da li je objavljivanje </w:t>
      </w:r>
      <w:r w:rsidRPr="00015E88">
        <w:rPr>
          <w:rFonts w:asciiTheme="majorHAnsi" w:eastAsia="Cambria" w:hAnsiTheme="majorHAnsi" w:cs="Times New Roman"/>
          <w:sz w:val="24"/>
          <w:szCs w:val="24"/>
          <w:lang w:val="uz-Cyrl-UZ"/>
        </w:rPr>
        <w:t xml:space="preserve">dokumenata </w:t>
      </w:r>
      <w:r w:rsidR="0063346E" w:rsidRPr="00015E88">
        <w:rPr>
          <w:rFonts w:asciiTheme="majorHAnsi" w:eastAsia="Cambria" w:hAnsiTheme="majorHAnsi" w:cs="Times New Roman"/>
          <w:sz w:val="24"/>
          <w:szCs w:val="24"/>
          <w:lang w:val="uz-Cyrl-UZ"/>
        </w:rPr>
        <w:t xml:space="preserve">uticalo na </w:t>
      </w:r>
      <w:r w:rsidRPr="00015E88">
        <w:rPr>
          <w:rFonts w:asciiTheme="majorHAnsi" w:eastAsia="Cambria" w:hAnsiTheme="majorHAnsi" w:cs="Times New Roman"/>
          <w:sz w:val="24"/>
          <w:szCs w:val="24"/>
          <w:lang w:val="uz-Cyrl-UZ"/>
        </w:rPr>
        <w:t>istragu</w:t>
      </w:r>
      <w:r w:rsidR="0063346E" w:rsidRPr="00015E88">
        <w:rPr>
          <w:rFonts w:asciiTheme="majorHAnsi" w:eastAsia="Cambria" w:hAnsiTheme="majorHAnsi" w:cs="Times New Roman"/>
          <w:sz w:val="24"/>
          <w:szCs w:val="24"/>
          <w:lang w:val="uz-Cyrl-UZ"/>
        </w:rPr>
        <w:t xml:space="preserve"> ili pravo</w:t>
      </w:r>
      <w:r w:rsidRPr="00015E88">
        <w:rPr>
          <w:rFonts w:asciiTheme="majorHAnsi" w:eastAsia="Cambria" w:hAnsiTheme="majorHAnsi" w:cs="Times New Roman"/>
          <w:sz w:val="24"/>
          <w:szCs w:val="24"/>
          <w:lang w:val="uz-Cyrl-UZ"/>
        </w:rPr>
        <w:t xml:space="preserve"> optuženog na pravično suđenje.</w:t>
      </w:r>
    </w:p>
    <w:p w14:paraId="7BC0BF49" w14:textId="77777777" w:rsidR="0063346E" w:rsidRPr="00015E88" w:rsidRDefault="00BC4E6C" w:rsidP="0063346E">
      <w:pPr>
        <w:pStyle w:val="ListParagraph"/>
        <w:numPr>
          <w:ilvl w:val="0"/>
          <w:numId w:val="23"/>
        </w:numPr>
        <w:jc w:val="both"/>
        <w:rPr>
          <w:rFonts w:asciiTheme="majorHAnsi" w:eastAsia="Cambria" w:hAnsiTheme="majorHAnsi" w:cs="Times New Roman"/>
          <w:sz w:val="24"/>
          <w:szCs w:val="24"/>
          <w:lang w:val="uz-Cyrl-UZ"/>
        </w:rPr>
      </w:pPr>
      <w:r>
        <w:rPr>
          <w:rFonts w:asciiTheme="majorHAnsi" w:eastAsia="Cambria" w:hAnsiTheme="majorHAnsi" w:cs="Times New Roman"/>
          <w:b/>
          <w:i/>
          <w:sz w:val="24"/>
          <w:szCs w:val="24"/>
          <w:lang w:val="uz-Cyrl-UZ"/>
        </w:rPr>
        <w:t>Wirtschafts-Trend</w:t>
      </w:r>
      <w:r w:rsidR="0063346E" w:rsidRPr="00015E88">
        <w:rPr>
          <w:rFonts w:asciiTheme="majorHAnsi" w:eastAsia="Cambria" w:hAnsiTheme="majorHAnsi" w:cs="Times New Roman"/>
          <w:b/>
          <w:i/>
          <w:sz w:val="24"/>
          <w:szCs w:val="24"/>
          <w:lang w:val="uz-Cyrl-UZ"/>
        </w:rPr>
        <w:t xml:space="preserve"> Zeitschriften-Verlagsgesellschaft protiv Austrije</w:t>
      </w:r>
      <w:r w:rsidR="0063346E" w:rsidRPr="00015E88">
        <w:rPr>
          <w:rFonts w:asciiTheme="majorHAnsi" w:eastAsia="Cambria" w:hAnsiTheme="majorHAnsi" w:cs="Times New Roman"/>
          <w:sz w:val="24"/>
          <w:szCs w:val="24"/>
          <w:lang w:val="uz-Cyrl-UZ"/>
        </w:rPr>
        <w:t xml:space="preserve"> (br</w:t>
      </w:r>
      <w:r w:rsidR="005B1505" w:rsidRPr="00015E88">
        <w:rPr>
          <w:rFonts w:asciiTheme="majorHAnsi" w:eastAsia="Cambria" w:hAnsiTheme="majorHAnsi" w:cs="Times New Roman"/>
          <w:sz w:val="24"/>
          <w:szCs w:val="24"/>
          <w:lang w:val="uz-Cyrl-UZ"/>
        </w:rPr>
        <w:t xml:space="preserve">. 2), predstavka br. 62746/00, presuda od </w:t>
      </w:r>
      <w:r w:rsidR="0063346E" w:rsidRPr="00015E88">
        <w:rPr>
          <w:rFonts w:asciiTheme="majorHAnsi" w:eastAsia="Cambria" w:hAnsiTheme="majorHAnsi" w:cs="Times New Roman"/>
          <w:sz w:val="24"/>
          <w:szCs w:val="24"/>
          <w:lang w:val="uz-Cyrl-UZ"/>
        </w:rPr>
        <w:t>14</w:t>
      </w:r>
      <w:r w:rsidR="005B1505" w:rsidRPr="00015E88">
        <w:rPr>
          <w:rFonts w:asciiTheme="majorHAnsi" w:eastAsia="Cambria" w:hAnsiTheme="majorHAnsi" w:cs="Times New Roman"/>
          <w:sz w:val="24"/>
          <w:szCs w:val="24"/>
          <w:lang w:val="uz-Cyrl-UZ"/>
        </w:rPr>
        <w:t>. n</w:t>
      </w:r>
      <w:r w:rsidR="0063346E" w:rsidRPr="00015E88">
        <w:rPr>
          <w:rFonts w:asciiTheme="majorHAnsi" w:eastAsia="Cambria" w:hAnsiTheme="majorHAnsi" w:cs="Times New Roman"/>
          <w:sz w:val="24"/>
          <w:szCs w:val="24"/>
          <w:lang w:val="uz-Cyrl-UZ"/>
        </w:rPr>
        <w:t>ovemb</w:t>
      </w:r>
      <w:r w:rsidR="005B1505" w:rsidRPr="00015E88">
        <w:rPr>
          <w:rFonts w:asciiTheme="majorHAnsi" w:eastAsia="Cambria" w:hAnsiTheme="majorHAnsi" w:cs="Times New Roman"/>
          <w:sz w:val="24"/>
          <w:szCs w:val="24"/>
          <w:lang w:val="uz-Cyrl-UZ"/>
        </w:rPr>
        <w:t>ra</w:t>
      </w:r>
      <w:r w:rsidR="0063346E" w:rsidRPr="00015E88">
        <w:rPr>
          <w:rFonts w:asciiTheme="majorHAnsi" w:eastAsia="Cambria" w:hAnsiTheme="majorHAnsi" w:cs="Times New Roman"/>
          <w:sz w:val="24"/>
          <w:szCs w:val="24"/>
          <w:lang w:val="uz-Cyrl-UZ"/>
        </w:rPr>
        <w:t xml:space="preserve"> 2011</w:t>
      </w:r>
      <w:r w:rsidR="005B1505" w:rsidRPr="00015E88">
        <w:rPr>
          <w:rFonts w:asciiTheme="majorHAnsi" w:eastAsia="Cambria" w:hAnsiTheme="majorHAnsi" w:cs="Times New Roman"/>
          <w:sz w:val="24"/>
          <w:szCs w:val="24"/>
          <w:lang w:val="uz-Cyrl-UZ"/>
        </w:rPr>
        <w:t xml:space="preserve">: </w:t>
      </w:r>
      <w:r w:rsidR="005B1505" w:rsidRPr="00015E88">
        <w:rPr>
          <w:rFonts w:asciiTheme="majorHAnsi" w:eastAsia="Cambria" w:hAnsiTheme="majorHAnsi" w:cs="Times New Roman"/>
          <w:sz w:val="24"/>
          <w:szCs w:val="24"/>
          <w:highlight w:val="yellow"/>
          <w:lang w:val="uz-Cyrl-UZ"/>
        </w:rPr>
        <w:t>osudom zbog pominjanja imena osumnjičenog u ranoj fazi krivične istrage nije prekršeno pravo na slobodu izražavanja</w:t>
      </w:r>
    </w:p>
    <w:p w14:paraId="2C7741E4" w14:textId="77777777" w:rsidR="005B1505" w:rsidRPr="00015E88" w:rsidRDefault="00BC4E6C" w:rsidP="005B1505">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S</w:t>
      </w:r>
      <w:r w:rsidR="005B1505" w:rsidRPr="00015E88">
        <w:rPr>
          <w:rFonts w:asciiTheme="majorHAnsi" w:eastAsia="Cambria" w:hAnsiTheme="majorHAnsi" w:cs="Times New Roman"/>
          <w:sz w:val="24"/>
          <w:szCs w:val="24"/>
          <w:lang w:val="uz-Cyrl-UZ"/>
        </w:rPr>
        <w:t>lučaj se odnosio na članak u časopisu o preliminarnoj krivičnoj istrazi o postupanju trojice policijskih službenika koji su pratili dvije osobe</w:t>
      </w:r>
      <w:r w:rsidR="002E185F" w:rsidRPr="00015E88">
        <w:rPr>
          <w:rFonts w:asciiTheme="majorHAnsi" w:eastAsia="Cambria" w:hAnsiTheme="majorHAnsi" w:cs="Times New Roman"/>
          <w:sz w:val="24"/>
          <w:szCs w:val="24"/>
          <w:lang w:val="uz-Cyrl-UZ"/>
        </w:rPr>
        <w:t xml:space="preserve"> deportovane u Nigeriju, a koji su preminuli tokom leta pod nerazjašnjenim okolnostima. Incident je dobio velik</w:t>
      </w:r>
      <w:r>
        <w:rPr>
          <w:rFonts w:asciiTheme="majorHAnsi" w:eastAsia="Cambria" w:hAnsiTheme="majorHAnsi" w:cs="Times New Roman"/>
          <w:sz w:val="24"/>
          <w:szCs w:val="24"/>
          <w:lang w:val="uz-Cyrl-UZ"/>
        </w:rPr>
        <w:t xml:space="preserve">u medijsku pažnju i pokrenuo </w:t>
      </w:r>
      <w:r w:rsidR="002E185F" w:rsidRPr="00015E88">
        <w:rPr>
          <w:rFonts w:asciiTheme="majorHAnsi" w:eastAsia="Cambria" w:hAnsiTheme="majorHAnsi" w:cs="Times New Roman"/>
          <w:sz w:val="24"/>
          <w:szCs w:val="24"/>
          <w:lang w:val="uz-Cyrl-UZ"/>
        </w:rPr>
        <w:t xml:space="preserve">rasprave o praksama deportacije. U članku su navedene kontradiktorne izjave i citiran je jedan od policajaca. Iako je identitet policajaca </w:t>
      </w:r>
      <w:r>
        <w:rPr>
          <w:rFonts w:asciiTheme="majorHAnsi" w:eastAsia="Cambria" w:hAnsiTheme="majorHAnsi" w:cs="Times New Roman"/>
          <w:sz w:val="24"/>
          <w:szCs w:val="24"/>
          <w:lang w:val="uz-Cyrl-UZ"/>
        </w:rPr>
        <w:t>ostao</w:t>
      </w:r>
      <w:r w:rsidR="002E185F" w:rsidRPr="00015E88">
        <w:rPr>
          <w:rFonts w:asciiTheme="majorHAnsi" w:eastAsia="Cambria" w:hAnsiTheme="majorHAnsi" w:cs="Times New Roman"/>
          <w:sz w:val="24"/>
          <w:szCs w:val="24"/>
          <w:lang w:val="uz-Cyrl-UZ"/>
        </w:rPr>
        <w:t xml:space="preserve"> anoniman u samom </w:t>
      </w:r>
      <w:r>
        <w:rPr>
          <w:rFonts w:asciiTheme="majorHAnsi" w:eastAsia="Cambria" w:hAnsiTheme="majorHAnsi" w:cs="Times New Roman"/>
          <w:sz w:val="24"/>
          <w:szCs w:val="24"/>
          <w:lang w:val="uz-Cyrl-UZ"/>
        </w:rPr>
        <w:t>tekstu</w:t>
      </w:r>
      <w:r w:rsidR="002E185F" w:rsidRPr="00015E88">
        <w:rPr>
          <w:rFonts w:asciiTheme="majorHAnsi" w:eastAsia="Cambria" w:hAnsiTheme="majorHAnsi" w:cs="Times New Roman"/>
          <w:sz w:val="24"/>
          <w:szCs w:val="24"/>
          <w:lang w:val="uz-Cyrl-UZ"/>
        </w:rPr>
        <w:t>, puno ime jednog od njih je bilo objavljeno na upadljivom mjestu</w:t>
      </w:r>
      <w:r>
        <w:rPr>
          <w:rFonts w:asciiTheme="majorHAnsi" w:eastAsia="Cambria" w:hAnsiTheme="majorHAnsi" w:cs="Times New Roman"/>
          <w:sz w:val="24"/>
          <w:szCs w:val="24"/>
          <w:lang w:val="uz-Cyrl-UZ"/>
        </w:rPr>
        <w:t xml:space="preserve"> </w:t>
      </w:r>
      <w:r w:rsidR="002E185F" w:rsidRPr="00015E88">
        <w:rPr>
          <w:rFonts w:asciiTheme="majorHAnsi" w:eastAsia="Cambria" w:hAnsiTheme="majorHAnsi" w:cs="Times New Roman"/>
          <w:sz w:val="24"/>
          <w:szCs w:val="24"/>
          <w:lang w:val="uz-Cyrl-UZ"/>
        </w:rPr>
        <w:t>iznad naslova. Policajac je po</w:t>
      </w:r>
      <w:r w:rsidR="006E7FFD">
        <w:rPr>
          <w:rFonts w:asciiTheme="majorHAnsi" w:eastAsia="Cambria" w:hAnsiTheme="majorHAnsi" w:cs="Times New Roman"/>
          <w:sz w:val="24"/>
          <w:szCs w:val="24"/>
          <w:lang w:val="uz-Cyrl-UZ"/>
        </w:rPr>
        <w:t>dnio tužbu zbog narušavanja pri</w:t>
      </w:r>
      <w:r w:rsidR="002E185F" w:rsidRPr="00015E88">
        <w:rPr>
          <w:rFonts w:asciiTheme="majorHAnsi" w:eastAsia="Cambria" w:hAnsiTheme="majorHAnsi" w:cs="Times New Roman"/>
          <w:sz w:val="24"/>
          <w:szCs w:val="24"/>
          <w:lang w:val="uz-Cyrl-UZ"/>
        </w:rPr>
        <w:t>vatnosti i časopisu je naređeno da mu plati naknadu štete u iznosu od 1.816 € (što iznosi oko 25.000 austrijskih šilinga).</w:t>
      </w:r>
    </w:p>
    <w:p w14:paraId="762790BB" w14:textId="77777777" w:rsidR="002E185F" w:rsidRPr="00015E88" w:rsidRDefault="002E185F" w:rsidP="005B1505">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za ljudska prava je smatrao da </w:t>
      </w:r>
      <w:r w:rsidR="00BC4E6C">
        <w:rPr>
          <w:rFonts w:asciiTheme="majorHAnsi" w:eastAsia="Cambria" w:hAnsiTheme="majorHAnsi" w:cs="Times New Roman"/>
          <w:sz w:val="24"/>
          <w:szCs w:val="24"/>
          <w:lang w:val="uz-Cyrl-UZ"/>
        </w:rPr>
        <w:t xml:space="preserve">tom presudom </w:t>
      </w:r>
      <w:r w:rsidRPr="00015E88">
        <w:rPr>
          <w:rFonts w:asciiTheme="majorHAnsi" w:eastAsia="Cambria" w:hAnsiTheme="majorHAnsi" w:cs="Times New Roman"/>
          <w:sz w:val="24"/>
          <w:szCs w:val="24"/>
          <w:lang w:val="uz-Cyrl-UZ"/>
        </w:rPr>
        <w:t xml:space="preserve">nije prekršeno pravo </w:t>
      </w:r>
      <w:r w:rsidR="00BC4E6C">
        <w:rPr>
          <w:rFonts w:asciiTheme="majorHAnsi" w:eastAsia="Cambria" w:hAnsiTheme="majorHAnsi" w:cs="Times New Roman"/>
          <w:sz w:val="24"/>
          <w:szCs w:val="24"/>
          <w:lang w:val="uz-Cyrl-UZ"/>
        </w:rPr>
        <w:t>časopisa na slobodu izražavanja</w:t>
      </w:r>
      <w:r w:rsidRPr="00015E88">
        <w:rPr>
          <w:rFonts w:asciiTheme="majorHAnsi" w:eastAsia="Cambria" w:hAnsiTheme="majorHAnsi" w:cs="Times New Roman"/>
          <w:sz w:val="24"/>
          <w:szCs w:val="24"/>
          <w:lang w:val="uz-Cyrl-UZ"/>
        </w:rPr>
        <w:t xml:space="preserve"> i proglasio je predstavku neprihvatljivom kao „očigledno neosnovanu“</w:t>
      </w:r>
      <w:r w:rsidR="00646DD2" w:rsidRPr="00015E88">
        <w:rPr>
          <w:rFonts w:asciiTheme="majorHAnsi" w:eastAsia="Cambria" w:hAnsiTheme="majorHAnsi" w:cs="Times New Roman"/>
          <w:sz w:val="24"/>
          <w:szCs w:val="24"/>
          <w:lang w:val="uz-Cyrl-UZ"/>
        </w:rPr>
        <w:t>. Sud je konstatovao</w:t>
      </w:r>
      <w:r w:rsidRPr="00015E88">
        <w:rPr>
          <w:rFonts w:asciiTheme="majorHAnsi" w:eastAsia="Cambria" w:hAnsiTheme="majorHAnsi" w:cs="Times New Roman"/>
          <w:sz w:val="24"/>
          <w:szCs w:val="24"/>
          <w:lang w:val="uz-Cyrl-UZ"/>
        </w:rPr>
        <w:t xml:space="preserve"> da, iako se članak ticao pitanja od javnog interesa i iako je pokrenuo političku raspravu o zakonitosti praksi deportacije, </w:t>
      </w:r>
      <w:r w:rsidR="00646DD2" w:rsidRPr="00015E88">
        <w:rPr>
          <w:rFonts w:asciiTheme="majorHAnsi" w:eastAsia="Cambria" w:hAnsiTheme="majorHAnsi" w:cs="Times New Roman"/>
          <w:sz w:val="24"/>
          <w:szCs w:val="24"/>
          <w:lang w:val="uz-Cyrl-UZ"/>
        </w:rPr>
        <w:t>nije bilo opravdanja za objavljivanje punog imena i prezimena policajca u ranoj fazi krivične istrage.</w:t>
      </w:r>
      <w:r w:rsidR="006E7FFD">
        <w:rPr>
          <w:rFonts w:asciiTheme="majorHAnsi" w:eastAsia="Cambria" w:hAnsiTheme="majorHAnsi" w:cs="Times New Roman"/>
          <w:sz w:val="24"/>
          <w:szCs w:val="24"/>
          <w:lang w:val="uz-Cyrl-UZ"/>
        </w:rPr>
        <w:t xml:space="preserve"> Sud je primijetio da su austri</w:t>
      </w:r>
      <w:r w:rsidR="00646DD2" w:rsidRPr="00015E88">
        <w:rPr>
          <w:rFonts w:asciiTheme="majorHAnsi" w:eastAsia="Cambria" w:hAnsiTheme="majorHAnsi" w:cs="Times New Roman"/>
          <w:sz w:val="24"/>
          <w:szCs w:val="24"/>
          <w:lang w:val="uz-Cyrl-UZ"/>
        </w:rPr>
        <w:t>jski sudovi nastojali da zaštite policijske službenike od toga da im „sude mediji“, i da su uzeli u obzir da časopis nije bio spriječen da izvještava o drugim aspektima slučaja,</w:t>
      </w:r>
      <w:r w:rsidR="006E7FFD">
        <w:rPr>
          <w:rFonts w:asciiTheme="majorHAnsi" w:eastAsia="Cambria" w:hAnsiTheme="majorHAnsi" w:cs="Times New Roman"/>
          <w:sz w:val="24"/>
          <w:szCs w:val="24"/>
          <w:lang w:val="uz-Cyrl-UZ"/>
        </w:rPr>
        <w:t xml:space="preserve"> kao i da je do</w:t>
      </w:r>
      <w:r w:rsidR="00646DD2" w:rsidRPr="00015E88">
        <w:rPr>
          <w:rFonts w:asciiTheme="majorHAnsi" w:eastAsia="Cambria" w:hAnsiTheme="majorHAnsi" w:cs="Times New Roman"/>
          <w:sz w:val="24"/>
          <w:szCs w:val="24"/>
          <w:lang w:val="uz-Cyrl-UZ"/>
        </w:rPr>
        <w:t>suđeni iznos bio skroman</w:t>
      </w:r>
      <w:r w:rsidR="006E7FFD">
        <w:rPr>
          <w:rFonts w:asciiTheme="majorHAnsi" w:eastAsia="Cambria" w:hAnsiTheme="majorHAnsi" w:cs="Times New Roman"/>
          <w:sz w:val="24"/>
          <w:szCs w:val="24"/>
          <w:lang w:val="uz-Cyrl-UZ"/>
        </w:rPr>
        <w:t>.</w:t>
      </w:r>
    </w:p>
    <w:p w14:paraId="66E84C05" w14:textId="77777777" w:rsidR="00646DD2" w:rsidRPr="00015E88" w:rsidRDefault="00646DD2" w:rsidP="00646DD2">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A.B. protiv Švajcarske</w:t>
      </w:r>
      <w:r w:rsidRPr="00015E88">
        <w:rPr>
          <w:rFonts w:asciiTheme="majorHAnsi" w:eastAsia="Cambria" w:hAnsiTheme="majorHAnsi" w:cs="Times New Roman"/>
          <w:sz w:val="24"/>
          <w:szCs w:val="24"/>
          <w:lang w:val="uz-Cyrl-UZ"/>
        </w:rPr>
        <w:t xml:space="preserve">, predstavka br. 56925/08, 1. jul 2014: </w:t>
      </w:r>
      <w:r w:rsidRPr="00015E88">
        <w:rPr>
          <w:rFonts w:asciiTheme="majorHAnsi" w:eastAsia="Cambria" w:hAnsiTheme="majorHAnsi" w:cs="Times New Roman"/>
          <w:sz w:val="24"/>
          <w:szCs w:val="24"/>
          <w:highlight w:val="yellow"/>
          <w:lang w:val="uz-Cyrl-UZ"/>
        </w:rPr>
        <w:t xml:space="preserve">osudom zbog objavljivanja dokumenata iz </w:t>
      </w:r>
      <w:r w:rsidR="006E630C" w:rsidRPr="00015E88">
        <w:rPr>
          <w:rFonts w:asciiTheme="majorHAnsi" w:eastAsia="Cambria" w:hAnsiTheme="majorHAnsi" w:cs="Times New Roman"/>
          <w:sz w:val="24"/>
          <w:szCs w:val="24"/>
          <w:highlight w:val="yellow"/>
          <w:lang w:val="uz-Cyrl-UZ"/>
        </w:rPr>
        <w:t>sudske istrage je prekršeno pra</w:t>
      </w:r>
      <w:r w:rsidRPr="00015E88">
        <w:rPr>
          <w:rFonts w:asciiTheme="majorHAnsi" w:eastAsia="Cambria" w:hAnsiTheme="majorHAnsi" w:cs="Times New Roman"/>
          <w:sz w:val="24"/>
          <w:szCs w:val="24"/>
          <w:highlight w:val="yellow"/>
          <w:lang w:val="uz-Cyrl-UZ"/>
        </w:rPr>
        <w:t>vo na slobodu izražavanja</w:t>
      </w:r>
    </w:p>
    <w:p w14:paraId="78B93FD8" w14:textId="77777777" w:rsidR="00646DD2" w:rsidRPr="00015E88" w:rsidRDefault="00646DD2"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Riječ je o novinaru koji je izvještavao o krivičnom postupku protiv osobe koja je pregazila i ubila troje pj</w:t>
      </w:r>
      <w:r w:rsidR="006E630C" w:rsidRPr="00015E88">
        <w:rPr>
          <w:rFonts w:asciiTheme="majorHAnsi" w:eastAsia="Cambria" w:hAnsiTheme="majorHAnsi" w:cs="Times New Roman"/>
          <w:sz w:val="24"/>
          <w:szCs w:val="24"/>
          <w:lang w:val="uz-Cyrl-UZ"/>
        </w:rPr>
        <w:t xml:space="preserve">ešaka i povrijedila još njih osam. Članak je sadržao biografiju okrivljenog, sažetak pitanja koja mu je postavila policija i sudija za istragu, odgovore okrivljenog i bio je ilustrovan brojnim fotografijama pisama koja su poslata sudiji za istragu. Novinar je osuđen zbog objavljivanja </w:t>
      </w:r>
      <w:r w:rsidR="00BC4E6C">
        <w:rPr>
          <w:rFonts w:asciiTheme="majorHAnsi" w:eastAsia="Cambria" w:hAnsiTheme="majorHAnsi" w:cs="Times New Roman"/>
          <w:sz w:val="24"/>
          <w:szCs w:val="24"/>
          <w:lang w:val="uz-Cyrl-UZ"/>
        </w:rPr>
        <w:t xml:space="preserve">tih dokumenata i kažnjen sa 2.667 €, pa </w:t>
      </w:r>
      <w:r w:rsidR="006E630C" w:rsidRPr="00015E88">
        <w:rPr>
          <w:rFonts w:asciiTheme="majorHAnsi" w:eastAsia="Cambria" w:hAnsiTheme="majorHAnsi" w:cs="Times New Roman"/>
          <w:sz w:val="24"/>
          <w:szCs w:val="24"/>
          <w:lang w:val="uz-Cyrl-UZ"/>
        </w:rPr>
        <w:t xml:space="preserve">se žalio </w:t>
      </w:r>
      <w:r w:rsidR="006E7FFD">
        <w:rPr>
          <w:rFonts w:asciiTheme="majorHAnsi" w:eastAsia="Cambria" w:hAnsiTheme="majorHAnsi" w:cs="Times New Roman"/>
          <w:sz w:val="24"/>
          <w:szCs w:val="24"/>
          <w:lang w:val="uz-Cyrl-UZ"/>
        </w:rPr>
        <w:t>E</w:t>
      </w:r>
      <w:r w:rsidR="006E630C" w:rsidRPr="00015E88">
        <w:rPr>
          <w:rFonts w:asciiTheme="majorHAnsi" w:eastAsia="Cambria" w:hAnsiTheme="majorHAnsi" w:cs="Times New Roman"/>
          <w:sz w:val="24"/>
          <w:szCs w:val="24"/>
          <w:lang w:val="uz-Cyrl-UZ"/>
        </w:rPr>
        <w:t>vropskom sudu za ljudska prava.</w:t>
      </w:r>
    </w:p>
    <w:p w14:paraId="75D32E1D" w14:textId="019378A9" w:rsidR="006E630C" w:rsidRPr="00015E88" w:rsidRDefault="006E630C"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je našao da je osudom prekršeno pravo na slobodu izražavanja. Sud je podsjetio da javnost ima pravo na informisanje o krivičnom postupku. </w:t>
      </w:r>
      <w:r w:rsidR="00BE274E" w:rsidRPr="00015E88">
        <w:rPr>
          <w:rFonts w:asciiTheme="majorHAnsi" w:eastAsia="Cambria" w:hAnsiTheme="majorHAnsi" w:cs="Times New Roman"/>
          <w:sz w:val="24"/>
          <w:szCs w:val="24"/>
          <w:lang w:val="uz-Cyrl-UZ"/>
        </w:rPr>
        <w:t xml:space="preserve">Sud je smatrao da su se domaći sudovi ograničili na konstataciju da </w:t>
      </w:r>
      <w:r w:rsidR="006E7FFD">
        <w:rPr>
          <w:rFonts w:asciiTheme="majorHAnsi" w:eastAsia="Cambria" w:hAnsiTheme="majorHAnsi" w:cs="Times New Roman"/>
          <w:sz w:val="24"/>
          <w:szCs w:val="24"/>
          <w:lang w:val="uz-Cyrl-UZ"/>
        </w:rPr>
        <w:t>je</w:t>
      </w:r>
      <w:r w:rsidR="00BE274E" w:rsidRPr="00015E88">
        <w:rPr>
          <w:rFonts w:asciiTheme="majorHAnsi" w:eastAsia="Cambria" w:hAnsiTheme="majorHAnsi" w:cs="Times New Roman"/>
          <w:sz w:val="24"/>
          <w:szCs w:val="24"/>
          <w:lang w:val="uz-Cyrl-UZ"/>
        </w:rPr>
        <w:t xml:space="preserve"> preranim objavljivanjem izjava i </w:t>
      </w:r>
      <w:r w:rsidR="00BE274E" w:rsidRPr="00015E88">
        <w:rPr>
          <w:rFonts w:asciiTheme="majorHAnsi" w:eastAsia="Cambria" w:hAnsiTheme="majorHAnsi" w:cs="Times New Roman"/>
          <w:sz w:val="24"/>
          <w:szCs w:val="24"/>
          <w:lang w:val="uz-Cyrl-UZ"/>
        </w:rPr>
        <w:lastRenderedPageBreak/>
        <w:t>pisama okrivljenog sudiji narušeno pravo okrivljenog na pretpostavku nevinosti i pravično suđenje. Međutim, glavna ročišta u suđenju su o</w:t>
      </w:r>
      <w:r w:rsidR="004B33CE">
        <w:rPr>
          <w:rFonts w:asciiTheme="majorHAnsi" w:eastAsia="Cambria" w:hAnsiTheme="majorHAnsi" w:cs="Times New Roman"/>
          <w:sz w:val="24"/>
          <w:szCs w:val="24"/>
          <w:lang w:val="uz-Cyrl-UZ"/>
        </w:rPr>
        <w:t>držana tek nakon dvije godine, a</w:t>
      </w:r>
      <w:r w:rsidR="00BE274E" w:rsidRPr="00015E88">
        <w:rPr>
          <w:rFonts w:asciiTheme="majorHAnsi" w:eastAsia="Cambria" w:hAnsiTheme="majorHAnsi" w:cs="Times New Roman"/>
          <w:sz w:val="24"/>
          <w:szCs w:val="24"/>
          <w:lang w:val="uz-Cyrl-UZ"/>
        </w:rPr>
        <w:t xml:space="preserve"> za dokumenta o kojima se raspravljalo u članku je tada smatrano da su od sekundarnog značaja. Osim toga, sud je našao da je suđenje</w:t>
      </w:r>
      <w:r w:rsidR="006E7FFD">
        <w:rPr>
          <w:rFonts w:asciiTheme="majorHAnsi" w:eastAsia="Cambria" w:hAnsiTheme="majorHAnsi" w:cs="Times New Roman"/>
          <w:sz w:val="24"/>
          <w:szCs w:val="24"/>
          <w:lang w:val="uz-Cyrl-UZ"/>
        </w:rPr>
        <w:t xml:space="preserve"> odvijalo</w:t>
      </w:r>
      <w:r w:rsidR="00BE274E" w:rsidRPr="00015E88">
        <w:rPr>
          <w:rFonts w:asciiTheme="majorHAnsi" w:eastAsia="Cambria" w:hAnsiTheme="majorHAnsi" w:cs="Times New Roman"/>
          <w:sz w:val="24"/>
          <w:szCs w:val="24"/>
          <w:lang w:val="uz-Cyrl-UZ"/>
        </w:rPr>
        <w:t xml:space="preserve"> pred profesionalnim sudijama</w:t>
      </w:r>
      <w:r w:rsidR="004B33CE">
        <w:rPr>
          <w:rFonts w:asciiTheme="majorHAnsi" w:eastAsia="Cambria" w:hAnsiTheme="majorHAnsi" w:cs="Times New Roman"/>
          <w:sz w:val="24"/>
          <w:szCs w:val="24"/>
          <w:lang w:val="uz-Cyrl-UZ"/>
        </w:rPr>
        <w:t>,</w:t>
      </w:r>
      <w:r w:rsidR="00BE274E" w:rsidRPr="00015E88">
        <w:rPr>
          <w:rFonts w:asciiTheme="majorHAnsi" w:eastAsia="Cambria" w:hAnsiTheme="majorHAnsi" w:cs="Times New Roman"/>
          <w:sz w:val="24"/>
          <w:szCs w:val="24"/>
          <w:lang w:val="uz-Cyrl-UZ"/>
        </w:rPr>
        <w:t xml:space="preserve"> a ne porotom. U takvim okolnostima, Sud se nije složio da je objavljivanje materijala moglo uticati na suđenje okrivljenom. Sud je takođe konstatovao da je okrivljeni mogao da podnese t</w:t>
      </w:r>
      <w:r w:rsidR="004B33CE">
        <w:rPr>
          <w:rFonts w:asciiTheme="majorHAnsi" w:eastAsia="Cambria" w:hAnsiTheme="majorHAnsi" w:cs="Times New Roman"/>
          <w:sz w:val="24"/>
          <w:szCs w:val="24"/>
          <w:lang w:val="uz-Cyrl-UZ"/>
        </w:rPr>
        <w:t>užbu zbog naružavanja pri</w:t>
      </w:r>
      <w:r w:rsidR="006E7FFD">
        <w:rPr>
          <w:rFonts w:asciiTheme="majorHAnsi" w:eastAsia="Cambria" w:hAnsiTheme="majorHAnsi" w:cs="Times New Roman"/>
          <w:sz w:val="24"/>
          <w:szCs w:val="24"/>
          <w:lang w:val="uz-Cyrl-UZ"/>
        </w:rPr>
        <w:t>vatno</w:t>
      </w:r>
      <w:r w:rsidR="00BE274E" w:rsidRPr="00015E88">
        <w:rPr>
          <w:rFonts w:asciiTheme="majorHAnsi" w:eastAsia="Cambria" w:hAnsiTheme="majorHAnsi" w:cs="Times New Roman"/>
          <w:sz w:val="24"/>
          <w:szCs w:val="24"/>
          <w:lang w:val="uz-Cyrl-UZ"/>
        </w:rPr>
        <w:t>sti, ali da to nije učinio.</w:t>
      </w:r>
    </w:p>
    <w:p w14:paraId="419CF70F" w14:textId="77777777" w:rsidR="00BE274E" w:rsidRPr="00015E88" w:rsidRDefault="00BE274E" w:rsidP="00BE274E">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 Roy i Malaurie protiv Francuske</w:t>
      </w:r>
      <w:r w:rsidRPr="00015E88">
        <w:rPr>
          <w:rFonts w:asciiTheme="majorHAnsi" w:eastAsia="Cambria" w:hAnsiTheme="majorHAnsi" w:cs="Times New Roman"/>
          <w:sz w:val="24"/>
          <w:szCs w:val="24"/>
          <w:lang w:val="uz-Cyrl-UZ"/>
        </w:rPr>
        <w:t xml:space="preserve">, predstavka br. 34000/96, presuda od 3. oktobra 2000: </w:t>
      </w:r>
      <w:r w:rsidRPr="00015E88">
        <w:rPr>
          <w:rFonts w:asciiTheme="majorHAnsi" w:eastAsia="Cambria" w:hAnsiTheme="majorHAnsi" w:cs="Times New Roman"/>
          <w:sz w:val="24"/>
          <w:szCs w:val="24"/>
          <w:highlight w:val="yellow"/>
          <w:lang w:val="uz-Cyrl-UZ"/>
        </w:rPr>
        <w:t>zabranom izvještavanja o krivičnom postupku je prekršeno pravo na slobodu izražavanja</w:t>
      </w:r>
    </w:p>
    <w:p w14:paraId="3DBEE346" w14:textId="2284F6A9" w:rsidR="00C17AC7" w:rsidRPr="00015E88"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novinara i direktora dnevnog lista koji je izvještavao o postupcima koje je pokrenula kompanija koja je upravlj</w:t>
      </w:r>
      <w:r w:rsidR="004B33CE">
        <w:rPr>
          <w:rFonts w:asciiTheme="majorHAnsi" w:eastAsia="Cambria" w:hAnsiTheme="majorHAnsi" w:cs="Times New Roman"/>
          <w:sz w:val="24"/>
          <w:szCs w:val="24"/>
          <w:lang w:val="uz-Cyrl-UZ"/>
        </w:rPr>
        <w:t>ala hostelima za radnike imigrante</w:t>
      </w:r>
      <w:r w:rsidRPr="00015E88">
        <w:rPr>
          <w:rFonts w:asciiTheme="majorHAnsi" w:eastAsia="Cambria" w:hAnsiTheme="majorHAnsi" w:cs="Times New Roman"/>
          <w:sz w:val="24"/>
          <w:szCs w:val="24"/>
          <w:lang w:val="uz-Cyrl-UZ"/>
        </w:rPr>
        <w:t xml:space="preserve"> protiv jednog od njenih bivših direktora. Oni su osuđeni po francuskom zakonu kojim se zabranjuje svako izvještavanje o postupcima koje pokrene pojedinac.</w:t>
      </w:r>
    </w:p>
    <w:p w14:paraId="5F21D2B0" w14:textId="74509404" w:rsidR="00BE274E"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Novinar i direktor su se žalili Evropskom sudu za ljudska prava, koji je našao da im je prekršeno pravo na slobodu izražavanja. Iako je konstatovao da novinari </w:t>
      </w:r>
      <w:r w:rsidR="006E7FFD">
        <w:rPr>
          <w:rFonts w:asciiTheme="majorHAnsi" w:eastAsia="Cambria" w:hAnsiTheme="majorHAnsi" w:cs="Times New Roman"/>
          <w:sz w:val="24"/>
          <w:szCs w:val="24"/>
          <w:lang w:val="uz-Cyrl-UZ"/>
        </w:rPr>
        <w:t>koji izvještavaju o krivičnom p</w:t>
      </w:r>
      <w:r w:rsidRPr="00015E88">
        <w:rPr>
          <w:rFonts w:asciiTheme="majorHAnsi" w:eastAsia="Cambria" w:hAnsiTheme="majorHAnsi" w:cs="Times New Roman"/>
          <w:sz w:val="24"/>
          <w:szCs w:val="24"/>
          <w:lang w:val="uz-Cyrl-UZ"/>
        </w:rPr>
        <w:t xml:space="preserve">ostupku koji je u toku moraju poštovati prava strana o kojima je riječ, Sud je primijetio da je u ovom slučaju – koji se ticao postupka koji je </w:t>
      </w:r>
      <w:r w:rsidR="004B33CE">
        <w:rPr>
          <w:rFonts w:asciiTheme="majorHAnsi" w:eastAsia="Cambria" w:hAnsiTheme="majorHAnsi" w:cs="Times New Roman"/>
          <w:sz w:val="24"/>
          <w:szCs w:val="24"/>
          <w:lang w:val="uz-Cyrl-UZ"/>
        </w:rPr>
        <w:t xml:space="preserve">bio </w:t>
      </w:r>
      <w:r w:rsidRPr="00015E88">
        <w:rPr>
          <w:rFonts w:asciiTheme="majorHAnsi" w:eastAsia="Cambria" w:hAnsiTheme="majorHAnsi" w:cs="Times New Roman"/>
          <w:sz w:val="24"/>
          <w:szCs w:val="24"/>
          <w:lang w:val="uz-Cyrl-UZ"/>
        </w:rPr>
        <w:t>pokrenut privatnom tužbom – došlo do potpune zabrane izvještava</w:t>
      </w:r>
      <w:r w:rsidR="006E7FFD">
        <w:rPr>
          <w:rFonts w:asciiTheme="majorHAnsi" w:eastAsia="Cambria" w:hAnsiTheme="majorHAnsi" w:cs="Times New Roman"/>
          <w:sz w:val="24"/>
          <w:szCs w:val="24"/>
          <w:lang w:val="uz-Cyrl-UZ"/>
        </w:rPr>
        <w:t>nja. Sud je konstatovao da su prema</w:t>
      </w:r>
      <w:r w:rsidRPr="00015E88">
        <w:rPr>
          <w:rFonts w:asciiTheme="majorHAnsi" w:eastAsia="Cambria" w:hAnsiTheme="majorHAnsi" w:cs="Times New Roman"/>
          <w:sz w:val="24"/>
          <w:szCs w:val="24"/>
          <w:lang w:val="uz-Cyrl-UZ"/>
        </w:rPr>
        <w:t xml:space="preserve"> francuskim zakonima postojali mnogi drugi mehanizmi kojima se štite prava osoba uključenih </w:t>
      </w:r>
      <w:r w:rsidR="004B33CE">
        <w:rPr>
          <w:rFonts w:asciiTheme="majorHAnsi" w:eastAsia="Cambria" w:hAnsiTheme="majorHAnsi" w:cs="Times New Roman"/>
          <w:sz w:val="24"/>
          <w:szCs w:val="24"/>
          <w:lang w:val="uz-Cyrl-UZ"/>
        </w:rPr>
        <w:t>u krivični postupak, i našao da je potpuna zabrana izvještavanja kršenje prava</w:t>
      </w:r>
      <w:r w:rsidRPr="00015E88">
        <w:rPr>
          <w:rFonts w:asciiTheme="majorHAnsi" w:eastAsia="Cambria" w:hAnsiTheme="majorHAnsi" w:cs="Times New Roman"/>
          <w:sz w:val="24"/>
          <w:szCs w:val="24"/>
          <w:lang w:val="uz-Cyrl-UZ"/>
        </w:rPr>
        <w:t xml:space="preserve"> na slobodu izražavanja.</w:t>
      </w:r>
    </w:p>
    <w:p w14:paraId="6B868970" w14:textId="77777777" w:rsidR="004B33CE" w:rsidRPr="00015E88" w:rsidRDefault="004B33CE" w:rsidP="00BE274E">
      <w:pPr>
        <w:jc w:val="both"/>
        <w:rPr>
          <w:rFonts w:asciiTheme="majorHAnsi" w:eastAsia="Cambria" w:hAnsiTheme="majorHAnsi" w:cs="Times New Roman"/>
          <w:sz w:val="24"/>
          <w:szCs w:val="24"/>
          <w:lang w:val="uz-Cyrl-UZ"/>
        </w:rPr>
      </w:pPr>
    </w:p>
    <w:p w14:paraId="2F9C971C" w14:textId="524B41A2" w:rsidR="00286C49" w:rsidRPr="004B33CE" w:rsidRDefault="00286C49" w:rsidP="00286C49">
      <w:pPr>
        <w:jc w:val="both"/>
        <w:rPr>
          <w:rFonts w:asciiTheme="majorHAnsi" w:hAnsiTheme="majorHAnsi"/>
          <w:b/>
          <w:sz w:val="24"/>
          <w:szCs w:val="24"/>
          <w:u w:val="single"/>
          <w:lang w:val="uz-Cyrl-UZ"/>
        </w:rPr>
      </w:pPr>
      <w:r w:rsidRPr="004B33CE">
        <w:rPr>
          <w:rFonts w:asciiTheme="majorHAnsi" w:hAnsiTheme="majorHAnsi"/>
          <w:b/>
          <w:sz w:val="24"/>
          <w:szCs w:val="24"/>
          <w:u w:val="single"/>
          <w:lang w:val="uz-Cyrl-UZ"/>
        </w:rPr>
        <w:t>Smjernice Savjeta Evrope</w:t>
      </w:r>
    </w:p>
    <w:p w14:paraId="17841446" w14:textId="77777777" w:rsidR="00A46BEA" w:rsidRDefault="00A46BEA" w:rsidP="00015E88">
      <w:pPr>
        <w:jc w:val="both"/>
        <w:rPr>
          <w:rFonts w:asciiTheme="majorHAnsi" w:hAnsiTheme="majorHAnsi"/>
          <w:sz w:val="24"/>
          <w:szCs w:val="24"/>
          <w:lang w:val="uz-Cyrl-UZ"/>
        </w:rPr>
      </w:pPr>
    </w:p>
    <w:p w14:paraId="255DD99A" w14:textId="7C5558F6" w:rsidR="00286C49" w:rsidRPr="00015E88" w:rsidRDefault="00286C49" w:rsidP="00015E88">
      <w:pPr>
        <w:jc w:val="both"/>
        <w:rPr>
          <w:rFonts w:asciiTheme="majorHAnsi" w:hAnsiTheme="majorHAnsi"/>
          <w:sz w:val="24"/>
          <w:szCs w:val="24"/>
          <w:lang w:val="uz-Cyrl-UZ"/>
        </w:rPr>
      </w:pPr>
      <w:r w:rsidRPr="00015E88">
        <w:rPr>
          <w:rFonts w:asciiTheme="majorHAnsi" w:hAnsiTheme="majorHAnsi"/>
          <w:sz w:val="24"/>
          <w:szCs w:val="24"/>
          <w:lang w:val="uz-Cyrl-UZ"/>
        </w:rPr>
        <w:t>Prepor</w:t>
      </w:r>
      <w:r w:rsidR="00A46BEA">
        <w:rPr>
          <w:rFonts w:asciiTheme="majorHAnsi" w:hAnsiTheme="majorHAnsi"/>
          <w:sz w:val="24"/>
          <w:szCs w:val="24"/>
          <w:lang w:val="uz-Cyrl-UZ"/>
        </w:rPr>
        <w:t>uka Savjeta Evrope Rec (2003)13</w:t>
      </w: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o medijskoj distribuciji informacija u vezi sa krivičnim postupcima</w:t>
      </w:r>
      <w:r w:rsidR="00A46BEA">
        <w:rPr>
          <w:rFonts w:asciiTheme="majorHAnsi" w:hAnsiTheme="majorHAnsi"/>
          <w:sz w:val="24"/>
          <w:szCs w:val="24"/>
          <w:lang w:val="uz-Cyrl-UZ"/>
        </w:rPr>
        <w:t>“, navodi</w:t>
      </w:r>
      <w:r w:rsidRPr="00015E88">
        <w:rPr>
          <w:rFonts w:asciiTheme="majorHAnsi" w:hAnsiTheme="majorHAnsi"/>
          <w:sz w:val="24"/>
          <w:szCs w:val="24"/>
          <w:lang w:val="uz-Cyrl-UZ"/>
        </w:rPr>
        <w:t xml:space="preserve"> (citirani su samo relevantni </w:t>
      </w:r>
      <w:r w:rsidR="00A46BEA">
        <w:rPr>
          <w:rFonts w:asciiTheme="majorHAnsi" w:hAnsiTheme="majorHAnsi"/>
          <w:sz w:val="24"/>
          <w:szCs w:val="24"/>
          <w:lang w:val="uz-Cyrl-UZ"/>
        </w:rPr>
        <w:t>odlomci</w:t>
      </w:r>
      <w:r w:rsidRPr="00015E88">
        <w:rPr>
          <w:rFonts w:asciiTheme="majorHAnsi" w:hAnsiTheme="majorHAnsi"/>
          <w:sz w:val="24"/>
          <w:szCs w:val="24"/>
          <w:lang w:val="uz-Cyrl-UZ"/>
        </w:rPr>
        <w:t>):</w:t>
      </w:r>
    </w:p>
    <w:p w14:paraId="1C71A6EA" w14:textId="2D610445" w:rsidR="00015E88" w:rsidRDefault="00286C49" w:rsidP="00015E88">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w:t>
      </w:r>
      <w:r w:rsidR="00015E88" w:rsidRPr="00015E88">
        <w:rPr>
          <w:rFonts w:asciiTheme="majorHAnsi" w:hAnsiTheme="majorHAnsi"/>
          <w:sz w:val="24"/>
          <w:szCs w:val="24"/>
          <w:lang w:val="uz-Cyrl-UZ"/>
        </w:rPr>
        <w:t>mediji imaju pravo da obavještavaju javnost zahvaljujući pravu javnosti da dobija informacije, uključujući informacije o pitanjima od opšteg interesa, na osnovu člana 1</w:t>
      </w:r>
      <w:r w:rsidR="00A46BEA">
        <w:rPr>
          <w:rFonts w:asciiTheme="majorHAnsi" w:hAnsiTheme="majorHAnsi"/>
          <w:sz w:val="24"/>
          <w:szCs w:val="24"/>
          <w:lang w:val="uz-Cyrl-UZ"/>
        </w:rPr>
        <w:t>0. Konvencije, i</w:t>
      </w:r>
      <w:r w:rsidR="00015E88" w:rsidRPr="00015E88">
        <w:rPr>
          <w:rFonts w:asciiTheme="majorHAnsi" w:hAnsiTheme="majorHAnsi"/>
          <w:sz w:val="24"/>
          <w:szCs w:val="24"/>
          <w:lang w:val="uz-Cyrl-UZ"/>
        </w:rPr>
        <w:t xml:space="preserve"> imaju profesionalnu obavezu da to čine;</w:t>
      </w:r>
    </w:p>
    <w:p w14:paraId="29F48E02" w14:textId="77777777" w:rsidR="00A46BEA" w:rsidRPr="00A46BEA" w:rsidRDefault="00A46BEA" w:rsidP="00A46BEA">
      <w:pPr>
        <w:pStyle w:val="ListParagraph"/>
        <w:jc w:val="both"/>
        <w:rPr>
          <w:rFonts w:asciiTheme="majorHAnsi" w:hAnsiTheme="majorHAnsi"/>
          <w:sz w:val="16"/>
          <w:szCs w:val="16"/>
          <w:lang w:val="uz-Cyrl-UZ"/>
        </w:rPr>
      </w:pPr>
    </w:p>
    <w:p w14:paraId="4F1D1ACD" w14:textId="77777777" w:rsidR="00015E88" w:rsidRDefault="00286C49"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prava na pretpostavku nevinosti, pravično sudjenje i poštovanje privatnog i porodičnog života po članovima 6. i 8. Konvencije postavljaju suštinske zahtjeve koji se moraju poštovati u svakom demokratskom društvu;</w:t>
      </w:r>
    </w:p>
    <w:p w14:paraId="52A8F55F" w14:textId="77777777" w:rsidR="00A46BEA" w:rsidRPr="00A46BEA" w:rsidRDefault="00A46BEA" w:rsidP="00A46BEA">
      <w:pPr>
        <w:jc w:val="both"/>
        <w:rPr>
          <w:rFonts w:asciiTheme="majorHAnsi" w:hAnsiTheme="majorHAnsi"/>
          <w:sz w:val="24"/>
          <w:szCs w:val="24"/>
          <w:lang w:val="uz-Cyrl-UZ"/>
        </w:rPr>
      </w:pPr>
    </w:p>
    <w:p w14:paraId="25F8BE4A" w14:textId="77777777" w:rsidR="00A46BEA" w:rsidRPr="00015E88" w:rsidRDefault="00A46BEA" w:rsidP="00A46BEA">
      <w:pPr>
        <w:pStyle w:val="ListParagraph"/>
        <w:jc w:val="both"/>
        <w:rPr>
          <w:rFonts w:asciiTheme="majorHAnsi" w:hAnsiTheme="majorHAnsi"/>
          <w:sz w:val="24"/>
          <w:szCs w:val="24"/>
          <w:lang w:val="uz-Cyrl-UZ"/>
        </w:rPr>
      </w:pPr>
    </w:p>
    <w:p w14:paraId="2A9A025D" w14:textId="77777777" w:rsidR="00015E88" w:rsidRDefault="00015E88"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lastRenderedPageBreak/>
        <w:t>Ističući značaj medijskog izvještavanja u informisanju javnosti o krivičnim postupcima, čineći preventivnu funkciju krivičnog prava vidljivom i pružanjem javnosti uvida u funkcionisanje  pravosudnog krivičnog sistema</w:t>
      </w:r>
    </w:p>
    <w:p w14:paraId="7DED8954" w14:textId="77777777" w:rsidR="00A46BEA" w:rsidRPr="00015E88" w:rsidRDefault="00A46BEA" w:rsidP="00A46BEA">
      <w:pPr>
        <w:pStyle w:val="ListParagraph"/>
        <w:jc w:val="both"/>
        <w:rPr>
          <w:rFonts w:asciiTheme="majorHAnsi" w:hAnsiTheme="majorHAnsi"/>
          <w:sz w:val="24"/>
          <w:szCs w:val="24"/>
          <w:lang w:val="uz-Cyrl-UZ"/>
        </w:rPr>
      </w:pPr>
    </w:p>
    <w:p w14:paraId="71598618" w14:textId="77777777"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iCs/>
          <w:sz w:val="24"/>
          <w:szCs w:val="24"/>
          <w:lang w:val="uz-Cyrl-UZ"/>
        </w:rPr>
        <w:t>Načelo 1 – Informisanje javnosti putem medija</w:t>
      </w:r>
    </w:p>
    <w:p w14:paraId="127A3E88" w14:textId="77777777" w:rsidR="00015E88" w:rsidRPr="00015E88" w:rsidRDefault="00015E88" w:rsidP="00015E88">
      <w:pPr>
        <w:jc w:val="both"/>
        <w:rPr>
          <w:rFonts w:asciiTheme="majorHAnsi" w:hAnsiTheme="majorHAnsi" w:cs="Arial"/>
          <w:i/>
          <w:iCs/>
          <w:spacing w:val="-2"/>
          <w:sz w:val="24"/>
          <w:szCs w:val="24"/>
          <w:lang w:val="uz-Cyrl-UZ"/>
        </w:rPr>
      </w:pPr>
      <w:r w:rsidRPr="00015E88">
        <w:rPr>
          <w:rFonts w:asciiTheme="majorHAnsi" w:hAnsiTheme="majorHAnsi" w:cs="Arial"/>
          <w:sz w:val="24"/>
          <w:szCs w:val="24"/>
          <w:lang w:val="uz-Cyrl-UZ"/>
        </w:rPr>
        <w:t xml:space="preserve">Javnost treba da bude obaviještena putem medija o aktivnostima sudskih vlasti i  policijskih službi. U skladu sa tim, novinari treba da slobodno izvještavaju i da iznose komentare o funkcionisanju sudskog i krivično-pravnog sistema, pri čemu primjena dolje navedenih principa predstavlja jedina predviđena ograničenja. </w:t>
      </w:r>
    </w:p>
    <w:p w14:paraId="76BDABF6"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2 – Pretpostavka nevinosti</w:t>
      </w:r>
    </w:p>
    <w:p w14:paraId="657B0449"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Poštovanje principa pretpostavke nevinosti je sastavni dio prava na pravedan proces. Prema tome, mišljenja i informacije vezane za krivične postupke koji su u toku mogu se iznositi ili pronositi u medijima samo ako se njima ne povrijeđuje pravo osumnjičenog ili optuženog da se smatra nevinim do donošenja presude o krivici.</w:t>
      </w:r>
    </w:p>
    <w:p w14:paraId="3B60518A"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3 – Istinitost informacije</w:t>
      </w:r>
    </w:p>
    <w:p w14:paraId="7924FFFC"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 xml:space="preserve">Sudske vlasti i  policijske službe treba da pružaju medijima samo potvrđene informacije i one informacije koje se zasnivaju na razumnim pretpostavkama. Ako se radi o drugom navedenom slučaju, to treba jasno naglasiti sredstvima informisanja. </w:t>
      </w:r>
    </w:p>
    <w:p w14:paraId="1B7D531F"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4 – Pristup informaciji</w:t>
      </w:r>
    </w:p>
    <w:p w14:paraId="31EA8762"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Kada novinari dobiju informaciju na zakonit način u okviru krivičnih postupaka koji su u toku, od strane sudskih vlasti ili policijskih službi, te vlasti i službe moraju staviti na raspolaganje takvu informaciju bez razlike svim novinarima koji ulažu ili su uložili isti zahtjev.</w:t>
      </w:r>
    </w:p>
    <w:p w14:paraId="0D587A25"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5 – Sredstva za pružanje informacija medijima</w:t>
      </w:r>
    </w:p>
    <w:p w14:paraId="1652921E" w14:textId="77777777"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Kad sudske vlasti i policijske službe same odluče da informišu medije u okviru krivičnih postupaka koji su u toku, one te informacije moraju pružiti bez diskriminacije i, kad god je to moguće, to treba da rade ovlašćeni službenici putem saopštenja za javnost ili konferencija za štampu ili sličnih dozvoljenih sredstava.</w:t>
      </w:r>
    </w:p>
    <w:p w14:paraId="78BC56F8"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6 – Redovno informisanje tokom krivičnih postupaka</w:t>
      </w:r>
    </w:p>
    <w:p w14:paraId="6C6172A2" w14:textId="77777777"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U okviru krivičnih postupaka od javnog interesa ili ostalih krivičnih postupaka koji privlače pažnju javnosti, sudske vlasti i policijske službe bi trebale da obavještavaju medije o svojim najvažnijim aktivnostima, pod uslovom da to ne narušava tajnost istrage niti policijsku istragu i da ne usporava postupak niti ometa postizanje rezultata. U slučaju dugotrajnih krivičnih postupaka, ovo informisanje treba da bude redovno.</w:t>
      </w:r>
    </w:p>
    <w:p w14:paraId="7177AB82"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7 – Zabrana iskorištavanja informacije</w:t>
      </w:r>
    </w:p>
    <w:p w14:paraId="16FB8168"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lastRenderedPageBreak/>
        <w:t>Sudske vlasti i policijske službe ne treba da koriste informacije koje se odnose na krivične postupke u toku u cilju sticanja profita ili u bilo kojem drugom cilju osim doprinošenja primjeni zakona.</w:t>
      </w:r>
    </w:p>
    <w:p w14:paraId="49A02AE7"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 xml:space="preserve">Načelo 8 – Zaštita privatnosti u kontekstu krivičnih postupaka koji su u toku </w:t>
      </w:r>
    </w:p>
    <w:p w14:paraId="209ABBA2" w14:textId="77777777"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Pri pružanju informacija o osumnjičenim, optuženim ili osuđenim licima, kao i o ostalim učesnicima u krivičnom postupku, mora se poštovati njihovo pravo na zaštitu privatnosti u skladu sa Članom 8. Konvencije. Posebna zaštita mora biti pružena maloljetnnim i drugim ranjivim licima, kao i žrtvama, svjedocima i porodicama osumnjičenih, optuženih i osuđenih lica. U svakom slučaju, treba obratiti posebnu pažnju na štetne posljedice koje odavanje informacija koje omogućavaju njihovu identifikaciju može imati po lica navedena u ovom Načelu.</w:t>
      </w:r>
    </w:p>
    <w:p w14:paraId="6B1CF5EA"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9 – Pravo na ispravku ili pravo na odgovor</w:t>
      </w:r>
    </w:p>
    <w:p w14:paraId="5112F776" w14:textId="77777777"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Ne gubeći druge mogućnosti žalbe, svaka osoba koja je bila predmet netačnog medijskog izvještavanja ili klevete u okviru krivičnih postupaka, mora imati pravo na ispravku ili odgovor, u zavisnosti od okolnosti, od strane datog medija. Pravo na ispravku se može takodje iskoristiti i za saopštenja za javnost sudskih vlasti ili policijskih službi koja sadrže netačne informacije.</w:t>
      </w:r>
    </w:p>
    <w:p w14:paraId="5FAC419B"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10 – Zaštita od pristrasnog uticaja</w:t>
      </w:r>
    </w:p>
    <w:p w14:paraId="6E5DCC0B"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U okviru krivičnih postupaka, a posebno onih koje uključuju, ne-profesionalne porotnike i sudije, sudske vlasti i policijske službe treba da se uzdržavaju od javnog iznošenja informacija koje nose rizik značajnog prejudiciranja na pravičnost postupka.</w:t>
      </w:r>
    </w:p>
    <w:p w14:paraId="1F69C20D" w14:textId="77777777"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sz w:val="24"/>
          <w:szCs w:val="24"/>
          <w:lang w:val="uz-Cyrl-UZ"/>
        </w:rPr>
        <w:t>Načelo</w:t>
      </w:r>
      <w:r w:rsidRPr="00015E88">
        <w:rPr>
          <w:rFonts w:asciiTheme="majorHAnsi" w:hAnsiTheme="majorHAnsi" w:cs="Arial"/>
          <w:i/>
          <w:iCs/>
          <w:sz w:val="24"/>
          <w:szCs w:val="24"/>
          <w:lang w:val="uz-Cyrl-UZ"/>
        </w:rPr>
        <w:t xml:space="preserve"> 11 – Negativni publicitet prije procesa</w:t>
      </w:r>
    </w:p>
    <w:p w14:paraId="37463089" w14:textId="77777777"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 optuženo lice može da pokaže da je iznošenje informacija izazvalo ili će vrlo vjerovatno izazvati kršenje njegovog / njenog prava na pravedan proces, on/a mora imati mogućnost za efikasnu sudsku žalbu.</w:t>
      </w:r>
    </w:p>
    <w:p w14:paraId="1AC0BA02" w14:textId="77777777"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16 – Zaštita svjedoka</w:t>
      </w:r>
    </w:p>
    <w:p w14:paraId="6EACA814" w14:textId="77777777" w:rsid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Identitet svjedoka se ne smije otkrivati, osim ako se svjedok nije prethodno složio/la, ako identifikacija svjedoka nije od javnog interesa ili ako svjedočenje već nije obavljeno pred javnošću. Identitet svjedoka se nikad ne smije otkriti ako ih dovodi u životnu opasnost ili predstavlja prijetnju njihovoj sigurnosti. Programi zaštite svjedoka se moraju strogo poštovati, posebno u okviru krivičnih postupaka koje se vode protiv organizovanog kriminala ili povodom zločina počinjenih u okviru porodice.</w:t>
      </w:r>
    </w:p>
    <w:p w14:paraId="3FDC090E" w14:textId="77777777" w:rsidR="004B33CE" w:rsidRDefault="004B33CE" w:rsidP="00015E88">
      <w:pPr>
        <w:jc w:val="both"/>
        <w:rPr>
          <w:rFonts w:asciiTheme="majorHAnsi" w:hAnsiTheme="majorHAnsi" w:cs="Arial"/>
          <w:b/>
          <w:iCs/>
          <w:sz w:val="24"/>
          <w:szCs w:val="24"/>
          <w:u w:val="single"/>
          <w:lang w:val="uz-Cyrl-UZ"/>
        </w:rPr>
      </w:pPr>
    </w:p>
    <w:p w14:paraId="70B900CC" w14:textId="26E281DA" w:rsidR="00015E88" w:rsidRDefault="00A46BEA" w:rsidP="00015E88">
      <w:pPr>
        <w:jc w:val="both"/>
        <w:rPr>
          <w:rFonts w:asciiTheme="majorHAnsi" w:hAnsiTheme="majorHAnsi" w:cs="Arial"/>
          <w:b/>
          <w:iCs/>
          <w:sz w:val="24"/>
          <w:szCs w:val="24"/>
          <w:u w:val="single"/>
          <w:lang w:val="uz-Cyrl-UZ"/>
        </w:rPr>
      </w:pPr>
      <w:r>
        <w:rPr>
          <w:rFonts w:asciiTheme="majorHAnsi" w:hAnsiTheme="majorHAnsi" w:cs="Arial"/>
          <w:b/>
          <w:iCs/>
          <w:sz w:val="24"/>
          <w:szCs w:val="24"/>
          <w:u w:val="single"/>
          <w:lang w:val="uz-Cyrl-UZ"/>
        </w:rPr>
        <w:t>Uporedni p</w:t>
      </w:r>
      <w:r w:rsidR="00015E88" w:rsidRPr="004B33CE">
        <w:rPr>
          <w:rFonts w:asciiTheme="majorHAnsi" w:hAnsiTheme="majorHAnsi" w:cs="Arial"/>
          <w:b/>
          <w:iCs/>
          <w:sz w:val="24"/>
          <w:szCs w:val="24"/>
          <w:u w:val="single"/>
          <w:lang w:val="uz-Cyrl-UZ"/>
        </w:rPr>
        <w:t>regled</w:t>
      </w:r>
      <w:r w:rsidR="004B33CE">
        <w:rPr>
          <w:rFonts w:asciiTheme="majorHAnsi" w:hAnsiTheme="majorHAnsi" w:cs="Arial"/>
          <w:b/>
          <w:iCs/>
          <w:sz w:val="24"/>
          <w:szCs w:val="24"/>
          <w:u w:val="single"/>
          <w:lang w:val="uz-Cyrl-UZ"/>
        </w:rPr>
        <w:t xml:space="preserve"> </w:t>
      </w:r>
      <w:r>
        <w:rPr>
          <w:rFonts w:asciiTheme="majorHAnsi" w:hAnsiTheme="majorHAnsi" w:cs="Arial"/>
          <w:b/>
          <w:iCs/>
          <w:sz w:val="24"/>
          <w:szCs w:val="24"/>
          <w:u w:val="single"/>
          <w:lang w:val="uz-Cyrl-UZ"/>
        </w:rPr>
        <w:t>prava</w:t>
      </w:r>
    </w:p>
    <w:p w14:paraId="01048EAF" w14:textId="77777777" w:rsidR="00A46BEA" w:rsidRPr="00A46BEA" w:rsidRDefault="00A46BEA" w:rsidP="00015E88">
      <w:pPr>
        <w:jc w:val="both"/>
        <w:rPr>
          <w:rFonts w:asciiTheme="majorHAnsi" w:hAnsiTheme="majorHAnsi" w:cs="Arial"/>
          <w:b/>
          <w:iCs/>
          <w:sz w:val="16"/>
          <w:szCs w:val="16"/>
          <w:u w:val="single"/>
          <w:lang w:val="uz-Cyrl-UZ"/>
        </w:rPr>
      </w:pPr>
    </w:p>
    <w:p w14:paraId="3BBA7855" w14:textId="340A176B" w:rsidR="00A46BEA" w:rsidRPr="00A46BEA" w:rsidRDefault="00D76796" w:rsidP="00015E88">
      <w:pPr>
        <w:jc w:val="both"/>
        <w:rPr>
          <w:rFonts w:asciiTheme="majorHAnsi" w:hAnsiTheme="majorHAnsi" w:cs="Arial"/>
          <w:iCs/>
          <w:sz w:val="24"/>
          <w:szCs w:val="24"/>
          <w:lang w:val="uz-Cyrl-UZ"/>
        </w:rPr>
      </w:pPr>
      <w:r w:rsidRPr="00D76796">
        <w:rPr>
          <w:rFonts w:asciiTheme="majorHAnsi" w:hAnsiTheme="majorHAnsi" w:cs="Arial"/>
          <w:iCs/>
          <w:sz w:val="24"/>
          <w:szCs w:val="24"/>
          <w:lang w:val="uz-Cyrl-UZ"/>
        </w:rPr>
        <w:lastRenderedPageBreak/>
        <w:t xml:space="preserve">Praksa varira širom Evrope. </w:t>
      </w:r>
      <w:r>
        <w:rPr>
          <w:rFonts w:asciiTheme="majorHAnsi" w:hAnsiTheme="majorHAnsi" w:cs="Arial"/>
          <w:iCs/>
          <w:sz w:val="24"/>
          <w:szCs w:val="24"/>
          <w:lang w:val="uz-Cyrl-UZ"/>
        </w:rPr>
        <w:t>U nastavku slijedi kratak pregled zakonske situacije u nekoliko zemalja Evrope.</w:t>
      </w:r>
    </w:p>
    <w:p w14:paraId="05B1F1A5" w14:textId="77777777" w:rsidR="00D76796" w:rsidRPr="00D76796" w:rsidRDefault="00D76796" w:rsidP="00015E88">
      <w:pPr>
        <w:jc w:val="both"/>
        <w:rPr>
          <w:rFonts w:asciiTheme="majorHAnsi" w:hAnsiTheme="majorHAnsi" w:cs="Arial"/>
          <w:iCs/>
          <w:sz w:val="24"/>
          <w:szCs w:val="24"/>
          <w:u w:val="single"/>
          <w:lang w:val="uz-Cyrl-UZ"/>
        </w:rPr>
      </w:pPr>
      <w:r w:rsidRPr="00D76796">
        <w:rPr>
          <w:rFonts w:asciiTheme="majorHAnsi" w:hAnsiTheme="majorHAnsi" w:cs="Arial"/>
          <w:iCs/>
          <w:sz w:val="24"/>
          <w:szCs w:val="24"/>
          <w:u w:val="single"/>
          <w:lang w:val="uz-Cyrl-UZ"/>
        </w:rPr>
        <w:t>Belgija</w:t>
      </w:r>
    </w:p>
    <w:p w14:paraId="168FF28D" w14:textId="5747FF8F" w:rsidR="00D76796" w:rsidRDefault="00D76796"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Izvještavanje o krivičnim istragama koje su u toku je strogo ogra</w:t>
      </w:r>
      <w:r w:rsidR="006E7FFD">
        <w:rPr>
          <w:rFonts w:asciiTheme="majorHAnsi" w:hAnsiTheme="majorHAnsi" w:cs="Arial"/>
          <w:iCs/>
          <w:sz w:val="24"/>
          <w:szCs w:val="24"/>
          <w:lang w:val="uz-Cyrl-UZ"/>
        </w:rPr>
        <w:t>ničeno, ali član 28 belgijskog K</w:t>
      </w:r>
      <w:r>
        <w:rPr>
          <w:rFonts w:asciiTheme="majorHAnsi" w:hAnsiTheme="majorHAnsi" w:cs="Arial"/>
          <w:iCs/>
          <w:sz w:val="24"/>
          <w:szCs w:val="24"/>
          <w:lang w:val="uz-Cyrl-UZ"/>
        </w:rPr>
        <w:t>rivičnog zakonika propisuje da se informacije mogu pružiti kada je to u javnom interesu. Međutim, svi izvještaj</w:t>
      </w:r>
      <w:r w:rsidR="006E7FFD">
        <w:rPr>
          <w:rFonts w:asciiTheme="majorHAnsi" w:hAnsiTheme="majorHAnsi" w:cs="Arial"/>
          <w:iCs/>
          <w:sz w:val="24"/>
          <w:szCs w:val="24"/>
          <w:lang w:val="uz-Cyrl-UZ"/>
        </w:rPr>
        <w:t>i</w:t>
      </w:r>
      <w:r>
        <w:rPr>
          <w:rFonts w:asciiTheme="majorHAnsi" w:hAnsiTheme="majorHAnsi" w:cs="Arial"/>
          <w:iCs/>
          <w:sz w:val="24"/>
          <w:szCs w:val="24"/>
          <w:lang w:val="uz-Cyrl-UZ"/>
        </w:rPr>
        <w:t xml:space="preserve"> moraju poštovati pravo na pretpostavku nevinosti i pravo na privatnost žrtvi, svjedoka ili bilo kojih drugih uključenih strana. Smjernice Ministarstva pravde predviđaju modele po kojima se informacije mogu pružati, </w:t>
      </w:r>
      <w:r w:rsidR="005F52D8">
        <w:rPr>
          <w:rFonts w:asciiTheme="majorHAnsi" w:hAnsiTheme="majorHAnsi" w:cs="Arial"/>
          <w:iCs/>
          <w:sz w:val="24"/>
          <w:szCs w:val="24"/>
          <w:lang w:val="uz-Cyrl-UZ"/>
        </w:rPr>
        <w:t xml:space="preserve">uključujući zvanične </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brifinge</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 xml:space="preserve"> kao i neformalne informacije o pr</w:t>
      </w:r>
      <w:r w:rsidR="00A46BEA">
        <w:rPr>
          <w:rFonts w:asciiTheme="majorHAnsi" w:hAnsiTheme="majorHAnsi" w:cs="Arial"/>
          <w:iCs/>
          <w:sz w:val="24"/>
          <w:szCs w:val="24"/>
          <w:lang w:val="uz-Cyrl-UZ"/>
        </w:rPr>
        <w:t>užanju osnovnih informacija da</w:t>
      </w:r>
      <w:r w:rsidR="005F52D8">
        <w:rPr>
          <w:rFonts w:asciiTheme="majorHAnsi" w:hAnsiTheme="majorHAnsi" w:cs="Arial"/>
          <w:iCs/>
          <w:sz w:val="24"/>
          <w:szCs w:val="24"/>
          <w:lang w:val="uz-Cyrl-UZ"/>
        </w:rPr>
        <w:t xml:space="preserve"> bi se novinarima omogućilo da pravilno razumiju postupak.</w:t>
      </w:r>
    </w:p>
    <w:p w14:paraId="2B58DA20" w14:textId="77777777"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Francuska</w:t>
      </w:r>
    </w:p>
    <w:p w14:paraId="0AB4BB5F" w14:textId="7E71B069" w:rsidR="005F52D8" w:rsidRDefault="00A46BEA"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Novinari koji objave</w:t>
      </w:r>
      <w:r w:rsidR="005F52D8">
        <w:rPr>
          <w:rFonts w:asciiTheme="majorHAnsi" w:hAnsiTheme="majorHAnsi" w:cs="Arial"/>
          <w:iCs/>
          <w:sz w:val="24"/>
          <w:szCs w:val="24"/>
          <w:lang w:val="uz-Cyrl-UZ"/>
        </w:rPr>
        <w:t xml:space="preserve"> materijal koji je „procurio“ iz policije ili koji im je dostavio neko iz Odsjeka za suds</w:t>
      </w:r>
      <w:r w:rsidR="006E7FFD">
        <w:rPr>
          <w:rFonts w:asciiTheme="majorHAnsi" w:hAnsiTheme="majorHAnsi" w:cs="Arial"/>
          <w:iCs/>
          <w:sz w:val="24"/>
          <w:szCs w:val="24"/>
          <w:lang w:val="uz-Cyrl-UZ"/>
        </w:rPr>
        <w:t>ke istrage mogu</w:t>
      </w:r>
      <w:r>
        <w:rPr>
          <w:rFonts w:asciiTheme="majorHAnsi" w:hAnsiTheme="majorHAnsi" w:cs="Arial"/>
          <w:iCs/>
          <w:sz w:val="24"/>
          <w:szCs w:val="24"/>
          <w:lang w:val="uz-Cyrl-UZ"/>
        </w:rPr>
        <w:t xml:space="preserve"> da odgovaraju</w:t>
      </w:r>
      <w:r w:rsidR="005F52D8">
        <w:rPr>
          <w:rFonts w:asciiTheme="majorHAnsi" w:hAnsiTheme="majorHAnsi" w:cs="Arial"/>
          <w:iCs/>
          <w:sz w:val="24"/>
          <w:szCs w:val="24"/>
          <w:lang w:val="uz-Cyrl-UZ"/>
        </w:rPr>
        <w:t xml:space="preserve"> kao „saučesnici“ državnih službenika koji su dostavili tu informaciju – „curenje“ informacija je krivično djelo. Evropski sud za ljudska prava je našao u slučaju </w:t>
      </w:r>
      <w:r w:rsidR="005F52D8" w:rsidRPr="005F52D8">
        <w:rPr>
          <w:rFonts w:asciiTheme="majorHAnsi" w:hAnsiTheme="majorHAnsi" w:cs="Arial"/>
          <w:i/>
          <w:iCs/>
          <w:sz w:val="24"/>
          <w:szCs w:val="24"/>
          <w:lang w:val="uz-Cyrl-UZ"/>
        </w:rPr>
        <w:t>Dupuis</w:t>
      </w:r>
      <w:r w:rsidR="005F52D8">
        <w:rPr>
          <w:rFonts w:asciiTheme="majorHAnsi" w:hAnsiTheme="majorHAnsi" w:cs="Arial"/>
          <w:iCs/>
          <w:sz w:val="24"/>
          <w:szCs w:val="24"/>
          <w:lang w:val="uz-Cyrl-UZ"/>
        </w:rPr>
        <w:t xml:space="preserve">, čiji je sažetak dat gore, da </w:t>
      </w:r>
      <w:r w:rsidR="006E7FFD">
        <w:rPr>
          <w:rFonts w:asciiTheme="majorHAnsi" w:hAnsiTheme="majorHAnsi" w:cs="Arial"/>
          <w:iCs/>
          <w:sz w:val="24"/>
          <w:szCs w:val="24"/>
          <w:lang w:val="uz-Cyrl-UZ"/>
        </w:rPr>
        <w:t xml:space="preserve">se time </w:t>
      </w:r>
      <w:r w:rsidR="005F52D8">
        <w:rPr>
          <w:rFonts w:asciiTheme="majorHAnsi" w:hAnsiTheme="majorHAnsi" w:cs="Arial"/>
          <w:iCs/>
          <w:sz w:val="24"/>
          <w:szCs w:val="24"/>
          <w:lang w:val="uz-Cyrl-UZ"/>
        </w:rPr>
        <w:t>u nekim okolnostima može prekršiti pravo na slobodu izražavanja.</w:t>
      </w:r>
    </w:p>
    <w:p w14:paraId="5284D266" w14:textId="77777777"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Njemačka</w:t>
      </w:r>
    </w:p>
    <w:p w14:paraId="4C88774F" w14:textId="77777777" w:rsidR="009E0314" w:rsidRDefault="005F52D8"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Izvještavanje o krivičnoj istrazi je dozvoljeno kada je to u javnom interesu, ali mediji moraju poštovati pravo na pretpostavku nevinosti. Krivičnim zakonikom je zabranjeno bukvalno citiranje optužnica ili drugih dokumenata</w:t>
      </w:r>
      <w:r w:rsidR="009E0314">
        <w:rPr>
          <w:rFonts w:asciiTheme="majorHAnsi" w:hAnsiTheme="majorHAnsi" w:cs="Arial"/>
          <w:iCs/>
          <w:sz w:val="24"/>
          <w:szCs w:val="24"/>
          <w:lang w:val="uz-Cyrl-UZ"/>
        </w:rPr>
        <w:t xml:space="preserve"> prije nego što se održi javno ročište. Imena svjedoka, žrtvi ili drugih osoba povezanih sa postupkom se mogu pominjati samo u vezi sa teškim krivičnim djelima ili u drugim slučajevima koji su od javnog interesa (vidi Odjeljak 353 njemačkog Krivičnog zakonika).</w:t>
      </w:r>
    </w:p>
    <w:p w14:paraId="2A55ECE3" w14:textId="77777777" w:rsidR="009E0314" w:rsidRPr="009E0314" w:rsidRDefault="009E0314" w:rsidP="00015E88">
      <w:pPr>
        <w:jc w:val="both"/>
        <w:rPr>
          <w:rFonts w:asciiTheme="majorHAnsi" w:hAnsiTheme="majorHAnsi" w:cs="Arial"/>
          <w:iCs/>
          <w:sz w:val="24"/>
          <w:szCs w:val="24"/>
          <w:u w:val="single"/>
          <w:lang w:val="uz-Cyrl-UZ"/>
        </w:rPr>
      </w:pPr>
      <w:r w:rsidRPr="009E0314">
        <w:rPr>
          <w:rFonts w:asciiTheme="majorHAnsi" w:hAnsiTheme="majorHAnsi" w:cs="Arial"/>
          <w:iCs/>
          <w:sz w:val="24"/>
          <w:szCs w:val="24"/>
          <w:u w:val="single"/>
          <w:lang w:val="uz-Cyrl-UZ"/>
        </w:rPr>
        <w:t>Poljska</w:t>
      </w:r>
    </w:p>
    <w:p w14:paraId="3D6D9C7A" w14:textId="77777777" w:rsidR="009E0314" w:rsidRDefault="009E0314"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 xml:space="preserve">Objavljivanje materijala iz sudske ili policijske istrage prije objavljivanja na suđenju je krivično djelo. Novinari mogu da izvještavaju o krivičnim istragama koje su u toku na druge načine, uključujući kroz sopstveno istraživanje – ali ne smiju da objave niti citiraju službene zabilješke. Svi takvi izvještaji, ili izvještaji o suđenjima koja su u toku, </w:t>
      </w:r>
      <w:r w:rsidR="006D0DD8">
        <w:rPr>
          <w:rFonts w:asciiTheme="majorHAnsi" w:hAnsiTheme="majorHAnsi" w:cs="Arial"/>
          <w:iCs/>
          <w:sz w:val="24"/>
          <w:szCs w:val="24"/>
          <w:lang w:val="uz-Cyrl-UZ"/>
        </w:rPr>
        <w:t>moraju poštovati prava uključenih strana, uključujući pravo na pretpostavku nevinosti.</w:t>
      </w:r>
    </w:p>
    <w:p w14:paraId="7E40C327" w14:textId="158BB691" w:rsidR="001809B0" w:rsidRDefault="001809B0" w:rsidP="00015E88">
      <w:pPr>
        <w:jc w:val="both"/>
        <w:rPr>
          <w:rFonts w:asciiTheme="majorHAnsi" w:hAnsiTheme="majorHAnsi" w:cs="Arial"/>
          <w:iCs/>
          <w:sz w:val="24"/>
          <w:szCs w:val="24"/>
          <w:u w:val="single"/>
          <w:lang w:val="uz-Cyrl-UZ"/>
        </w:rPr>
      </w:pPr>
      <w:r w:rsidRPr="001809B0">
        <w:rPr>
          <w:rFonts w:asciiTheme="majorHAnsi" w:hAnsiTheme="majorHAnsi" w:cs="Arial"/>
          <w:iCs/>
          <w:sz w:val="24"/>
          <w:szCs w:val="24"/>
          <w:u w:val="single"/>
          <w:lang w:val="uz-Cyrl-UZ"/>
        </w:rPr>
        <w:t>Crna Gora</w:t>
      </w:r>
    </w:p>
    <w:p w14:paraId="2BE794D8" w14:textId="51E493E8" w:rsidR="001809B0" w:rsidRPr="00370AFD" w:rsidRDefault="001809B0" w:rsidP="00015E88">
      <w:pPr>
        <w:jc w:val="both"/>
        <w:rPr>
          <w:rFonts w:asciiTheme="majorHAnsi" w:hAnsiTheme="majorHAnsi" w:cs="Arial"/>
          <w:b/>
          <w:bCs/>
          <w:iCs/>
          <w:sz w:val="24"/>
          <w:szCs w:val="24"/>
        </w:rPr>
      </w:pPr>
      <w:r>
        <w:rPr>
          <w:rFonts w:asciiTheme="majorHAnsi" w:hAnsiTheme="majorHAnsi" w:cs="Arial"/>
          <w:bCs/>
          <w:iCs/>
          <w:sz w:val="24"/>
          <w:szCs w:val="24"/>
          <w:lang w:val="uz-Cyrl-UZ"/>
        </w:rPr>
        <w:t>Zakonik o krivičnom postupku propisuje mogućnost donošenja naredbe o tajnosti istrage</w:t>
      </w:r>
      <w:r w:rsidR="00370AFD">
        <w:rPr>
          <w:rFonts w:asciiTheme="majorHAnsi" w:hAnsiTheme="majorHAnsi" w:cs="Arial"/>
          <w:bCs/>
          <w:iCs/>
          <w:sz w:val="24"/>
          <w:szCs w:val="24"/>
          <w:lang w:val="uz-Cyrl-UZ"/>
        </w:rPr>
        <w:t>,</w:t>
      </w:r>
      <w:r>
        <w:rPr>
          <w:rFonts w:asciiTheme="majorHAnsi" w:hAnsiTheme="majorHAnsi" w:cs="Arial"/>
          <w:bCs/>
          <w:iCs/>
          <w:sz w:val="24"/>
          <w:szCs w:val="24"/>
          <w:lang w:val="uz-Cyrl-UZ"/>
        </w:rPr>
        <w:t xml:space="preserve"> čije kršenje predstavlja krivično djelo (čl. 284). Krivični zakonik</w:t>
      </w:r>
      <w:r w:rsidR="00442875">
        <w:rPr>
          <w:rFonts w:asciiTheme="majorHAnsi" w:hAnsiTheme="majorHAnsi" w:cs="Arial"/>
          <w:bCs/>
          <w:iCs/>
          <w:sz w:val="24"/>
          <w:szCs w:val="24"/>
          <w:lang w:val="uz-Cyrl-UZ"/>
        </w:rPr>
        <w:t xml:space="preserve"> propisuje krivično djelo</w:t>
      </w:r>
      <w:r>
        <w:rPr>
          <w:rFonts w:asciiTheme="majorHAnsi" w:hAnsiTheme="majorHAnsi" w:cs="Arial"/>
          <w:bCs/>
          <w:iCs/>
          <w:sz w:val="24"/>
          <w:szCs w:val="24"/>
          <w:lang w:val="uz-Cyrl-UZ"/>
        </w:rPr>
        <w:t xml:space="preserve"> </w:t>
      </w:r>
      <w:r w:rsidR="00442875" w:rsidRPr="00442875">
        <w:rPr>
          <w:rFonts w:asciiTheme="majorHAnsi" w:hAnsiTheme="majorHAnsi" w:cs="Arial"/>
          <w:bCs/>
          <w:iCs/>
          <w:sz w:val="24"/>
          <w:szCs w:val="24"/>
        </w:rPr>
        <w:t>Povreda tajnosti postupka (čl. 391)</w:t>
      </w:r>
      <w:r w:rsidR="00442875">
        <w:rPr>
          <w:rFonts w:asciiTheme="majorHAnsi" w:hAnsiTheme="majorHAnsi" w:cs="Arial"/>
          <w:bCs/>
          <w:iCs/>
          <w:sz w:val="24"/>
          <w:szCs w:val="24"/>
        </w:rPr>
        <w:t>, prema kome se kažnjava osoba koja</w:t>
      </w:r>
      <w:r w:rsidR="00442875" w:rsidRPr="00442875">
        <w:rPr>
          <w:rFonts w:asciiTheme="majorHAnsi" w:hAnsiTheme="majorHAnsi" w:cs="Arial"/>
          <w:bCs/>
          <w:iCs/>
          <w:sz w:val="24"/>
          <w:szCs w:val="24"/>
        </w:rPr>
        <w:t xml:space="preserve"> neovl</w:t>
      </w:r>
      <w:r w:rsidR="00442875">
        <w:rPr>
          <w:rFonts w:asciiTheme="majorHAnsi" w:hAnsiTheme="majorHAnsi" w:cs="Arial"/>
          <w:bCs/>
          <w:iCs/>
          <w:sz w:val="24"/>
          <w:szCs w:val="24"/>
        </w:rPr>
        <w:t>ašćeno otkrije ono što je saznala</w:t>
      </w:r>
      <w:r w:rsidR="00442875" w:rsidRPr="00442875">
        <w:rPr>
          <w:rFonts w:asciiTheme="majorHAnsi" w:hAnsiTheme="majorHAnsi" w:cs="Arial"/>
          <w:bCs/>
          <w:iCs/>
          <w:sz w:val="24"/>
          <w:szCs w:val="24"/>
        </w:rPr>
        <w:t xml:space="preserve"> u sudskom, prekršajnom, upravnom ili drugom zakonom propisanom postupku, a što se po zakonu ne može objaviti ili je odlukom suda ili drugog nadležnog organa proglašeno kao tajna</w:t>
      </w:r>
      <w:r w:rsidR="00442875">
        <w:rPr>
          <w:rFonts w:asciiTheme="majorHAnsi" w:hAnsiTheme="majorHAnsi" w:cs="Arial"/>
          <w:bCs/>
          <w:iCs/>
          <w:sz w:val="24"/>
          <w:szCs w:val="24"/>
        </w:rPr>
        <w:t>. Poslanica Snežana Jonica (SNP) je nedavno predložila dopunu Zakona o specijalnom</w:t>
      </w:r>
      <w:r w:rsidR="00370AFD">
        <w:rPr>
          <w:rFonts w:asciiTheme="majorHAnsi" w:hAnsiTheme="majorHAnsi" w:cs="Arial"/>
          <w:bCs/>
          <w:iCs/>
          <w:sz w:val="24"/>
          <w:szCs w:val="24"/>
        </w:rPr>
        <w:t xml:space="preserve"> državnom</w:t>
      </w:r>
      <w:r w:rsidR="00442875">
        <w:rPr>
          <w:rFonts w:asciiTheme="majorHAnsi" w:hAnsiTheme="majorHAnsi" w:cs="Arial"/>
          <w:bCs/>
          <w:iCs/>
          <w:sz w:val="24"/>
          <w:szCs w:val="24"/>
        </w:rPr>
        <w:t xml:space="preserve"> tužilaštvu prema kojoj bi </w:t>
      </w:r>
      <w:r w:rsidR="00442875">
        <w:rPr>
          <w:rFonts w:asciiTheme="majorHAnsi" w:hAnsiTheme="majorHAnsi" w:cs="Arial"/>
          <w:bCs/>
          <w:iCs/>
          <w:sz w:val="24"/>
          <w:szCs w:val="24"/>
        </w:rPr>
        <w:lastRenderedPageBreak/>
        <w:t xml:space="preserve">se ovim krivičnim djelom smatralo i objavljivanje svih podataka iz izviđajnog, odnosno istražnog postupka za djela iz nadležnosti Specijalnog </w:t>
      </w:r>
      <w:r w:rsidR="00370AFD">
        <w:rPr>
          <w:rFonts w:asciiTheme="majorHAnsi" w:hAnsiTheme="majorHAnsi" w:cs="Arial"/>
          <w:bCs/>
          <w:iCs/>
          <w:sz w:val="24"/>
          <w:szCs w:val="24"/>
        </w:rPr>
        <w:t xml:space="preserve">državnog </w:t>
      </w:r>
      <w:r w:rsidR="00442875">
        <w:rPr>
          <w:rFonts w:asciiTheme="majorHAnsi" w:hAnsiTheme="majorHAnsi" w:cs="Arial"/>
          <w:bCs/>
          <w:iCs/>
          <w:sz w:val="24"/>
          <w:szCs w:val="24"/>
        </w:rPr>
        <w:t>tužilaštva bez dozvole Glavnog specijalnog tužioca, odnosno objavljivanje podataka iz istraga koje vodi Specijalno tužilaštvo kada izdaju naredbu o tajnosti,</w:t>
      </w:r>
      <w:r w:rsidR="00370AFD">
        <w:rPr>
          <w:rFonts w:asciiTheme="majorHAnsi" w:hAnsiTheme="majorHAnsi" w:cs="Arial"/>
          <w:bCs/>
          <w:iCs/>
          <w:sz w:val="24"/>
          <w:szCs w:val="24"/>
        </w:rPr>
        <w:t xml:space="preserve"> a istražni sudija ne dozvoli objavljivanje. HRA će blagovremeno pokušati da doprinese raspravi o ovom predlogu, koji još uvijek nije na dnevnom redu nadležnog skupštinskog odbora.</w:t>
      </w:r>
      <w:r w:rsidR="00442875">
        <w:rPr>
          <w:rFonts w:asciiTheme="majorHAnsi" w:hAnsiTheme="majorHAnsi" w:cs="Arial"/>
          <w:bCs/>
          <w:iCs/>
          <w:sz w:val="24"/>
          <w:szCs w:val="24"/>
        </w:rPr>
        <w:t xml:space="preserve"> </w:t>
      </w:r>
    </w:p>
    <w:p w14:paraId="3118D042" w14:textId="77777777" w:rsidR="008F4365" w:rsidRPr="00015E88" w:rsidRDefault="008F4365" w:rsidP="008F4365">
      <w:pPr>
        <w:spacing w:after="0"/>
        <w:jc w:val="both"/>
        <w:rPr>
          <w:rFonts w:asciiTheme="majorHAnsi" w:eastAsia="Calibri" w:hAnsiTheme="majorHAnsi" w:cs="Times New Roman"/>
          <w:b/>
          <w:i/>
          <w:lang w:val="uz-Cyrl-UZ"/>
        </w:rPr>
      </w:pPr>
    </w:p>
    <w:p w14:paraId="490AFBC1" w14:textId="77777777" w:rsidR="00370AFD" w:rsidRDefault="00370AFD" w:rsidP="008F4365">
      <w:pPr>
        <w:spacing w:after="0"/>
        <w:jc w:val="both"/>
        <w:rPr>
          <w:rFonts w:asciiTheme="majorHAnsi" w:eastAsia="Calibri" w:hAnsiTheme="majorHAnsi" w:cs="Times New Roman"/>
          <w:b/>
          <w:i/>
          <w:szCs w:val="23"/>
          <w:lang w:val="uz-Cyrl-UZ"/>
        </w:rPr>
      </w:pPr>
    </w:p>
    <w:p w14:paraId="1FFA48F3" w14:textId="6702C0E1" w:rsidR="000830F1" w:rsidRPr="006D0DD8" w:rsidRDefault="000830F1" w:rsidP="008F4365">
      <w:pPr>
        <w:spacing w:after="0"/>
        <w:jc w:val="both"/>
        <w:rPr>
          <w:rFonts w:asciiTheme="majorHAnsi" w:eastAsia="Calibri" w:hAnsiTheme="majorHAnsi" w:cs="Times New Roman"/>
          <w:b/>
          <w:i/>
          <w:szCs w:val="23"/>
          <w:lang w:val="uz-Cyrl-UZ"/>
        </w:rPr>
      </w:pPr>
      <w:r w:rsidRPr="006D0DD8">
        <w:rPr>
          <w:rFonts w:asciiTheme="majorHAnsi" w:eastAsia="Calibri" w:hAnsiTheme="majorHAnsi" w:cs="Times New Roman"/>
          <w:b/>
          <w:i/>
          <w:szCs w:val="23"/>
          <w:lang w:val="uz-Cyrl-UZ"/>
        </w:rPr>
        <w:t>Pripremio: Peter Noorlander, direktor</w:t>
      </w:r>
      <w:r w:rsidR="00370AFD">
        <w:rPr>
          <w:rFonts w:asciiTheme="majorHAnsi" w:eastAsia="Calibri" w:hAnsiTheme="majorHAnsi" w:cs="Times New Roman"/>
          <w:b/>
          <w:i/>
          <w:szCs w:val="23"/>
          <w:lang w:val="uz-Cyrl-UZ"/>
        </w:rPr>
        <w:t xml:space="preserve"> Media Legal Defence Initiative</w:t>
      </w:r>
      <w:r w:rsidRPr="006D0DD8">
        <w:rPr>
          <w:rFonts w:asciiTheme="majorHAnsi" w:eastAsia="Calibri" w:hAnsiTheme="majorHAnsi" w:cs="Times New Roman"/>
          <w:b/>
          <w:i/>
          <w:szCs w:val="23"/>
          <w:lang w:val="uz-Cyrl-UZ"/>
        </w:rPr>
        <w:t xml:space="preserve"> u saradnji sa HRA</w:t>
      </w:r>
    </w:p>
    <w:p w14:paraId="5FCD4501" w14:textId="77777777" w:rsidR="000830F1" w:rsidRPr="00015E88" w:rsidRDefault="000830F1" w:rsidP="000830F1">
      <w:pPr>
        <w:spacing w:after="0"/>
        <w:jc w:val="both"/>
        <w:rPr>
          <w:rFonts w:asciiTheme="majorHAnsi" w:eastAsia="Calibri" w:hAnsiTheme="majorHAnsi" w:cs="Times New Roman"/>
          <w:b/>
          <w:i/>
          <w:lang w:val="uz-Cyrl-UZ"/>
        </w:rPr>
      </w:pPr>
    </w:p>
    <w:p w14:paraId="60DD1014" w14:textId="77777777" w:rsidR="000830F1" w:rsidRPr="00015E88" w:rsidRDefault="00D06798" w:rsidP="000830F1">
      <w:pPr>
        <w:spacing w:after="0"/>
        <w:jc w:val="both"/>
        <w:rPr>
          <w:rFonts w:asciiTheme="majorHAnsi" w:eastAsia="Calibri" w:hAnsiTheme="majorHAnsi" w:cs="Times New Roman"/>
          <w:highlight w:val="yellow"/>
          <w:shd w:val="clear" w:color="auto" w:fill="FFFFFF"/>
          <w:lang w:val="uz-Cyrl-UZ"/>
        </w:rPr>
      </w:pPr>
      <w:r w:rsidRPr="00015E88">
        <w:rPr>
          <w:rFonts w:asciiTheme="majorHAnsi" w:eastAsia="Calibri" w:hAnsiTheme="majorHAnsi" w:cs="Times New Roman"/>
          <w:b/>
          <w:i/>
          <w:noProof/>
          <w:lang w:val="sr-Latn-ME" w:eastAsia="sr-Latn-ME"/>
        </w:rPr>
        <mc:AlternateContent>
          <mc:Choice Requires="wps">
            <w:drawing>
              <wp:anchor distT="4294967295" distB="4294967295" distL="114300" distR="114300" simplePos="0" relativeHeight="251662336" behindDoc="0" locked="0" layoutInCell="1" allowOverlap="1" wp14:anchorId="3FD9D688" wp14:editId="2307E2D8">
                <wp:simplePos x="0" y="0"/>
                <wp:positionH relativeFrom="column">
                  <wp:posOffset>-16866</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1.35pt;margin-top:9.6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" strokecolor="#903" strokeweight="1.5pt"/>
            </w:pict>
          </mc:Fallback>
        </mc:AlternateContent>
      </w:r>
    </w:p>
    <w:p w14:paraId="1BBEAB81" w14:textId="77777777" w:rsidR="000830F1" w:rsidRPr="00015E88" w:rsidRDefault="00A21C40" w:rsidP="000830F1">
      <w:pPr>
        <w:spacing w:after="0"/>
        <w:jc w:val="both"/>
        <w:rPr>
          <w:rFonts w:asciiTheme="majorHAnsi" w:eastAsia="Calibri" w:hAnsiTheme="majorHAnsi" w:cs="Times New Roman"/>
          <w:highlight w:val="yellow"/>
          <w:shd w:val="clear" w:color="auto" w:fill="FFFFFF"/>
          <w:lang w:val="uz-Cyrl-UZ"/>
        </w:rPr>
      </w:pPr>
      <w:r w:rsidRPr="00015E88">
        <w:rPr>
          <w:rFonts w:asciiTheme="majorHAnsi" w:eastAsia="Calibri" w:hAnsiTheme="majorHAnsi" w:cs="Times New Roman"/>
          <w:noProof/>
          <w:sz w:val="20"/>
          <w:szCs w:val="20"/>
          <w:shd w:val="clear" w:color="auto" w:fill="FFFFFF"/>
          <w:lang w:val="sr-Latn-ME" w:eastAsia="sr-Latn-ME"/>
        </w:rPr>
        <w:drawing>
          <wp:anchor distT="0" distB="0" distL="114300" distR="114300" simplePos="0" relativeHeight="251664384" behindDoc="1" locked="0" layoutInCell="1" allowOverlap="1" wp14:anchorId="00963E3B" wp14:editId="1EDE1508">
            <wp:simplePos x="0" y="0"/>
            <wp:positionH relativeFrom="column">
              <wp:posOffset>103394</wp:posOffset>
            </wp:positionH>
            <wp:positionV relativeFrom="paragraph">
              <wp:posOffset>126807</wp:posOffset>
            </wp:positionV>
            <wp:extent cx="1327868" cy="70662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10">
                      <a:extLst>
                        <a:ext uri="{28A0092B-C50C-407E-A947-70E740481C1C}">
                          <a14:useLocalDpi xmlns:a14="http://schemas.microsoft.com/office/drawing/2010/main" val="0"/>
                        </a:ext>
                      </a:extLst>
                    </a:blip>
                    <a:stretch>
                      <a:fillRect/>
                    </a:stretch>
                  </pic:blipFill>
                  <pic:spPr>
                    <a:xfrm>
                      <a:off x="0" y="0"/>
                      <a:ext cx="1327868" cy="706622"/>
                    </a:xfrm>
                    <a:prstGeom prst="rect">
                      <a:avLst/>
                    </a:prstGeom>
                  </pic:spPr>
                </pic:pic>
              </a:graphicData>
            </a:graphic>
            <wp14:sizeRelH relativeFrom="page">
              <wp14:pctWidth>0</wp14:pctWidth>
            </wp14:sizeRelH>
            <wp14:sizeRelV relativeFrom="page">
              <wp14:pctHeight>0</wp14:pctHeight>
            </wp14:sizeRelV>
          </wp:anchor>
        </w:drawing>
      </w:r>
    </w:p>
    <w:p w14:paraId="7CC63E57" w14:textId="77777777" w:rsidR="000830F1" w:rsidRPr="00015E88" w:rsidRDefault="000830F1" w:rsidP="00A21C40">
      <w:pPr>
        <w:spacing w:after="0"/>
        <w:ind w:left="2552"/>
        <w:jc w:val="both"/>
        <w:rPr>
          <w:rFonts w:asciiTheme="majorHAnsi" w:eastAsia="Calibri" w:hAnsiTheme="majorHAnsi" w:cs="Times New Roman"/>
          <w:sz w:val="20"/>
          <w:szCs w:val="20"/>
          <w:lang w:val="uz-Cyrl-UZ"/>
        </w:rPr>
      </w:pPr>
      <w:r w:rsidRPr="00015E88">
        <w:rPr>
          <w:rFonts w:asciiTheme="majorHAnsi" w:eastAsia="Calibri" w:hAnsiTheme="majorHAnsi" w:cs="Times New Roman"/>
          <w:sz w:val="20"/>
          <w:szCs w:val="20"/>
          <w:shd w:val="clear" w:color="auto" w:fill="FFFFFF"/>
          <w:lang w:val="uz-Cyrl-UZ"/>
        </w:rPr>
        <w:t xml:space="preserve">Bilteni se objavljuju </w:t>
      </w:r>
      <w:r w:rsidR="00450E99" w:rsidRPr="00015E88">
        <w:rPr>
          <w:rFonts w:asciiTheme="majorHAnsi" w:eastAsia="Calibri" w:hAnsiTheme="majorHAnsi" w:cs="Times New Roman"/>
          <w:sz w:val="20"/>
          <w:szCs w:val="20"/>
          <w:shd w:val="clear" w:color="auto" w:fill="FFFFFF"/>
          <w:lang w:val="uz-Cyrl-UZ"/>
        </w:rPr>
        <w:t>u okviru projekta</w:t>
      </w:r>
      <w:r w:rsidR="00A21C40" w:rsidRPr="00015E88">
        <w:rPr>
          <w:rFonts w:asciiTheme="majorHAnsi" w:eastAsia="Calibri" w:hAnsiTheme="majorHAnsi" w:cs="Times New Roman"/>
          <w:b/>
          <w:sz w:val="20"/>
          <w:szCs w:val="20"/>
          <w:shd w:val="clear" w:color="auto" w:fill="FFFFFF"/>
          <w:lang w:val="uz-Cyrl-UZ"/>
        </w:rPr>
        <w:t xml:space="preserve"> </w:t>
      </w:r>
      <w:r w:rsidR="005341D1" w:rsidRPr="00015E88">
        <w:rPr>
          <w:rFonts w:asciiTheme="majorHAnsi" w:eastAsia="Calibri" w:hAnsiTheme="majorHAnsi" w:cs="Times New Roman"/>
          <w:sz w:val="20"/>
          <w:szCs w:val="20"/>
          <w:shd w:val="clear" w:color="auto" w:fill="FFFFFF"/>
          <w:lang w:val="uz-Cyrl-UZ"/>
        </w:rPr>
        <w:t xml:space="preserve">koji finansira Ambasada </w:t>
      </w:r>
      <w:r w:rsidR="00450E99" w:rsidRPr="00015E88">
        <w:rPr>
          <w:rFonts w:asciiTheme="majorHAnsi" w:eastAsia="Calibri" w:hAnsiTheme="majorHAnsi" w:cs="Times New Roman"/>
          <w:sz w:val="20"/>
          <w:szCs w:val="20"/>
          <w:shd w:val="clear" w:color="auto" w:fill="FFFFFF"/>
          <w:lang w:val="uz-Cyrl-UZ"/>
        </w:rPr>
        <w:t>Australije u Beogradu</w:t>
      </w:r>
      <w:r w:rsidR="00A21C40" w:rsidRPr="00015E88">
        <w:rPr>
          <w:rFonts w:asciiTheme="majorHAnsi" w:eastAsia="Calibri" w:hAnsiTheme="majorHAnsi" w:cs="Times New Roman"/>
          <w:sz w:val="20"/>
          <w:szCs w:val="20"/>
          <w:shd w:val="clear" w:color="auto" w:fill="FFFFFF"/>
          <w:lang w:val="uz-Cyrl-UZ"/>
        </w:rPr>
        <w:t xml:space="preserve"> kroz </w:t>
      </w:r>
      <w:r w:rsidR="00A21C40" w:rsidRPr="00015E88">
        <w:rPr>
          <w:rFonts w:asciiTheme="majorHAnsi" w:eastAsia="Calibri" w:hAnsiTheme="majorHAnsi" w:cs="Times New Roman"/>
          <w:i/>
          <w:sz w:val="20"/>
          <w:szCs w:val="20"/>
          <w:shd w:val="clear" w:color="auto" w:fill="FFFFFF"/>
          <w:lang w:val="uz-Cyrl-UZ"/>
        </w:rPr>
        <w:t>Direct Aid Program</w:t>
      </w:r>
      <w:r w:rsidR="00A21C40" w:rsidRPr="00015E88">
        <w:rPr>
          <w:rFonts w:asciiTheme="majorHAnsi" w:eastAsia="Calibri" w:hAnsiTheme="majorHAnsi" w:cs="Times New Roman"/>
          <w:sz w:val="20"/>
          <w:szCs w:val="20"/>
          <w:shd w:val="clear" w:color="auto" w:fill="FFFFFF"/>
          <w:lang w:val="uz-Cyrl-UZ"/>
        </w:rPr>
        <w:t>.</w:t>
      </w:r>
    </w:p>
    <w:p w14:paraId="3BB485F6" w14:textId="77777777" w:rsidR="00A46BEA" w:rsidRDefault="00A46BEA" w:rsidP="009E513B">
      <w:pPr>
        <w:tabs>
          <w:tab w:val="left" w:pos="2038"/>
        </w:tabs>
        <w:rPr>
          <w:rFonts w:asciiTheme="majorHAnsi" w:hAnsiTheme="majorHAnsi"/>
          <w:lang w:val="uz-Cyrl-UZ"/>
        </w:rPr>
      </w:pPr>
    </w:p>
    <w:p w14:paraId="5C527E93" w14:textId="77777777" w:rsidR="00B760F2" w:rsidRDefault="00D06798" w:rsidP="009E513B">
      <w:pPr>
        <w:tabs>
          <w:tab w:val="left" w:pos="2038"/>
        </w:tabs>
        <w:rPr>
          <w:rFonts w:asciiTheme="majorHAnsi" w:hAnsiTheme="majorHAnsi"/>
          <w:lang w:val="uz-Cyrl-UZ"/>
        </w:rPr>
      </w:pPr>
      <w:r w:rsidRPr="00015E88">
        <w:rPr>
          <w:rFonts w:asciiTheme="majorHAnsi" w:eastAsia="Calibri" w:hAnsiTheme="majorHAnsi" w:cs="Times New Roman"/>
          <w:noProof/>
          <w:lang w:val="sr-Latn-ME" w:eastAsia="sr-Latn-ME"/>
        </w:rPr>
        <mc:AlternateContent>
          <mc:Choice Requires="wps">
            <w:drawing>
              <wp:anchor distT="4294967295" distB="4294967295" distL="114300" distR="114300" simplePos="0" relativeHeight="251663360" behindDoc="0" locked="0" layoutInCell="1" allowOverlap="1" wp14:anchorId="48D9A534" wp14:editId="60A3A44D">
                <wp:simplePos x="0" y="0"/>
                <wp:positionH relativeFrom="column">
                  <wp:posOffset>-13639</wp:posOffset>
                </wp:positionH>
                <wp:positionV relativeFrom="paragraph">
                  <wp:posOffset>228628</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 o:spid="_x0000_s1026" type="#_x0000_t32" style="position:absolute;margin-left:-1.05pt;margin-top:18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009E513B" w:rsidRPr="00015E88">
        <w:rPr>
          <w:rFonts w:asciiTheme="majorHAnsi" w:hAnsiTheme="majorHAnsi"/>
          <w:lang w:val="uz-Cyrl-UZ"/>
        </w:rPr>
        <w:tab/>
      </w:r>
    </w:p>
    <w:p w14:paraId="6A8998B7" w14:textId="77777777" w:rsidR="00A46BEA" w:rsidRPr="00015E88" w:rsidRDefault="00A46BEA" w:rsidP="009E513B">
      <w:pPr>
        <w:tabs>
          <w:tab w:val="left" w:pos="2038"/>
        </w:tabs>
        <w:rPr>
          <w:rFonts w:asciiTheme="majorHAnsi" w:hAnsiTheme="majorHAnsi"/>
          <w:lang w:val="uz-Cyrl-UZ"/>
        </w:rPr>
      </w:pPr>
    </w:p>
    <w:sectPr w:rsidR="00A46BEA" w:rsidRPr="00015E88" w:rsidSect="00B44E8F">
      <w:footerReference w:type="even" r:id="rId11"/>
      <w:footerReference w:type="default" r:id="rId12"/>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05241" w14:textId="77777777" w:rsidR="00661C2C" w:rsidRDefault="00661C2C" w:rsidP="00450E99">
      <w:pPr>
        <w:spacing w:after="0" w:line="240" w:lineRule="auto"/>
      </w:pPr>
      <w:r>
        <w:separator/>
      </w:r>
    </w:p>
  </w:endnote>
  <w:endnote w:type="continuationSeparator" w:id="0">
    <w:p w14:paraId="107170C2" w14:textId="77777777" w:rsidR="00661C2C" w:rsidRDefault="00661C2C" w:rsidP="0045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06A60" w14:textId="77777777"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DC828" w14:textId="77777777" w:rsidR="00442875" w:rsidRDefault="00442875" w:rsidP="001117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83C8" w14:textId="77777777"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45E">
      <w:rPr>
        <w:rStyle w:val="PageNumber"/>
        <w:noProof/>
      </w:rPr>
      <w:t>8</w:t>
    </w:r>
    <w:r>
      <w:rPr>
        <w:rStyle w:val="PageNumber"/>
      </w:rPr>
      <w:fldChar w:fldCharType="end"/>
    </w:r>
  </w:p>
  <w:p w14:paraId="44A566B9" w14:textId="77777777" w:rsidR="00442875" w:rsidRDefault="00442875" w:rsidP="001117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73558" w14:textId="77777777" w:rsidR="00661C2C" w:rsidRDefault="00661C2C" w:rsidP="00450E99">
      <w:pPr>
        <w:spacing w:after="0" w:line="240" w:lineRule="auto"/>
      </w:pPr>
      <w:r>
        <w:separator/>
      </w:r>
    </w:p>
  </w:footnote>
  <w:footnote w:type="continuationSeparator" w:id="0">
    <w:p w14:paraId="3468E05B" w14:textId="77777777" w:rsidR="00661C2C" w:rsidRDefault="00661C2C" w:rsidP="00450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12255348"/>
    <w:multiLevelType w:val="hybridMultilevel"/>
    <w:tmpl w:val="78B4FF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12E50BE8"/>
    <w:multiLevelType w:val="hybridMultilevel"/>
    <w:tmpl w:val="74068936"/>
    <w:lvl w:ilvl="0" w:tplc="351E48BA">
      <w:start w:val="1"/>
      <w:numFmt w:val="decimal"/>
      <w:lvlText w:val="(%1)"/>
      <w:lvlJc w:val="left"/>
      <w:pPr>
        <w:ind w:left="540" w:hanging="360"/>
      </w:pPr>
      <w:rPr>
        <w:rFonts w:hint="default"/>
      </w:rPr>
    </w:lvl>
    <w:lvl w:ilvl="1" w:tplc="2C1A0019" w:tentative="1">
      <w:start w:val="1"/>
      <w:numFmt w:val="lowerLetter"/>
      <w:lvlText w:val="%2."/>
      <w:lvlJc w:val="left"/>
      <w:pPr>
        <w:ind w:left="1260" w:hanging="360"/>
      </w:pPr>
    </w:lvl>
    <w:lvl w:ilvl="2" w:tplc="2C1A001B" w:tentative="1">
      <w:start w:val="1"/>
      <w:numFmt w:val="lowerRoman"/>
      <w:lvlText w:val="%3."/>
      <w:lvlJc w:val="right"/>
      <w:pPr>
        <w:ind w:left="1980" w:hanging="180"/>
      </w:pPr>
    </w:lvl>
    <w:lvl w:ilvl="3" w:tplc="2C1A000F" w:tentative="1">
      <w:start w:val="1"/>
      <w:numFmt w:val="decimal"/>
      <w:lvlText w:val="%4."/>
      <w:lvlJc w:val="left"/>
      <w:pPr>
        <w:ind w:left="2700" w:hanging="360"/>
      </w:pPr>
    </w:lvl>
    <w:lvl w:ilvl="4" w:tplc="2C1A0019" w:tentative="1">
      <w:start w:val="1"/>
      <w:numFmt w:val="lowerLetter"/>
      <w:lvlText w:val="%5."/>
      <w:lvlJc w:val="left"/>
      <w:pPr>
        <w:ind w:left="3420" w:hanging="360"/>
      </w:pPr>
    </w:lvl>
    <w:lvl w:ilvl="5" w:tplc="2C1A001B" w:tentative="1">
      <w:start w:val="1"/>
      <w:numFmt w:val="lowerRoman"/>
      <w:lvlText w:val="%6."/>
      <w:lvlJc w:val="right"/>
      <w:pPr>
        <w:ind w:left="4140" w:hanging="180"/>
      </w:pPr>
    </w:lvl>
    <w:lvl w:ilvl="6" w:tplc="2C1A000F" w:tentative="1">
      <w:start w:val="1"/>
      <w:numFmt w:val="decimal"/>
      <w:lvlText w:val="%7."/>
      <w:lvlJc w:val="left"/>
      <w:pPr>
        <w:ind w:left="4860" w:hanging="360"/>
      </w:pPr>
    </w:lvl>
    <w:lvl w:ilvl="7" w:tplc="2C1A0019" w:tentative="1">
      <w:start w:val="1"/>
      <w:numFmt w:val="lowerLetter"/>
      <w:lvlText w:val="%8."/>
      <w:lvlJc w:val="left"/>
      <w:pPr>
        <w:ind w:left="5580" w:hanging="360"/>
      </w:pPr>
    </w:lvl>
    <w:lvl w:ilvl="8" w:tplc="2C1A001B" w:tentative="1">
      <w:start w:val="1"/>
      <w:numFmt w:val="lowerRoman"/>
      <w:lvlText w:val="%9."/>
      <w:lvlJc w:val="right"/>
      <w:pPr>
        <w:ind w:left="6300" w:hanging="180"/>
      </w:pPr>
    </w:lvl>
  </w:abstractNum>
  <w:abstractNum w:abstractNumId="4">
    <w:nsid w:val="16EB7C51"/>
    <w:multiLevelType w:val="hybridMultilevel"/>
    <w:tmpl w:val="07665918"/>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E5C98"/>
    <w:multiLevelType w:val="hybridMultilevel"/>
    <w:tmpl w:val="4AB21EDE"/>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30AB45CC"/>
    <w:multiLevelType w:val="hybridMultilevel"/>
    <w:tmpl w:val="356606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31AC41EA"/>
    <w:multiLevelType w:val="hybridMultilevel"/>
    <w:tmpl w:val="FA5C2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35763F54"/>
    <w:multiLevelType w:val="hybridMultilevel"/>
    <w:tmpl w:val="5D84F76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63C5A88"/>
    <w:multiLevelType w:val="hybridMultilevel"/>
    <w:tmpl w:val="BEBCEA6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386E0110"/>
    <w:multiLevelType w:val="hybridMultilevel"/>
    <w:tmpl w:val="7E52A0B0"/>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487C7CCA"/>
    <w:multiLevelType w:val="hybridMultilevel"/>
    <w:tmpl w:val="AEF209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491603A3"/>
    <w:multiLevelType w:val="hybridMultilevel"/>
    <w:tmpl w:val="7CD099C6"/>
    <w:lvl w:ilvl="0" w:tplc="09EAAD72">
      <w:start w:val="26"/>
      <w:numFmt w:val="bullet"/>
      <w:lvlText w:val="-"/>
      <w:lvlJc w:val="left"/>
      <w:pPr>
        <w:ind w:left="720" w:hanging="360"/>
      </w:pPr>
      <w:rPr>
        <w:rFonts w:ascii="Calibri" w:eastAsia="Calibri" w:hAnsi="Calibri" w:cs="Times New Roman"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4CF04AE1"/>
    <w:multiLevelType w:val="hybridMultilevel"/>
    <w:tmpl w:val="5EAC77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557B0AD5"/>
    <w:multiLevelType w:val="hybridMultilevel"/>
    <w:tmpl w:val="589243C0"/>
    <w:lvl w:ilvl="0" w:tplc="E384D7A6">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81E91"/>
    <w:multiLevelType w:val="hybridMultilevel"/>
    <w:tmpl w:val="A22E66F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6662787D"/>
    <w:multiLevelType w:val="hybridMultilevel"/>
    <w:tmpl w:val="67FCC45C"/>
    <w:lvl w:ilvl="0" w:tplc="2C1A000F">
      <w:start w:val="1"/>
      <w:numFmt w:val="decimal"/>
      <w:lvlText w:val="%1."/>
      <w:lvlJc w:val="left"/>
      <w:pPr>
        <w:ind w:left="900" w:hanging="360"/>
      </w:pPr>
    </w:lvl>
    <w:lvl w:ilvl="1" w:tplc="2C1A0019" w:tentative="1">
      <w:start w:val="1"/>
      <w:numFmt w:val="lowerLetter"/>
      <w:lvlText w:val="%2."/>
      <w:lvlJc w:val="left"/>
      <w:pPr>
        <w:ind w:left="1620" w:hanging="360"/>
      </w:pPr>
    </w:lvl>
    <w:lvl w:ilvl="2" w:tplc="2C1A001B" w:tentative="1">
      <w:start w:val="1"/>
      <w:numFmt w:val="lowerRoman"/>
      <w:lvlText w:val="%3."/>
      <w:lvlJc w:val="right"/>
      <w:pPr>
        <w:ind w:left="2340" w:hanging="180"/>
      </w:pPr>
    </w:lvl>
    <w:lvl w:ilvl="3" w:tplc="2C1A000F" w:tentative="1">
      <w:start w:val="1"/>
      <w:numFmt w:val="decimal"/>
      <w:lvlText w:val="%4."/>
      <w:lvlJc w:val="left"/>
      <w:pPr>
        <w:ind w:left="3060" w:hanging="360"/>
      </w:pPr>
    </w:lvl>
    <w:lvl w:ilvl="4" w:tplc="2C1A0019" w:tentative="1">
      <w:start w:val="1"/>
      <w:numFmt w:val="lowerLetter"/>
      <w:lvlText w:val="%5."/>
      <w:lvlJc w:val="left"/>
      <w:pPr>
        <w:ind w:left="3780" w:hanging="360"/>
      </w:pPr>
    </w:lvl>
    <w:lvl w:ilvl="5" w:tplc="2C1A001B" w:tentative="1">
      <w:start w:val="1"/>
      <w:numFmt w:val="lowerRoman"/>
      <w:lvlText w:val="%6."/>
      <w:lvlJc w:val="right"/>
      <w:pPr>
        <w:ind w:left="4500" w:hanging="180"/>
      </w:pPr>
    </w:lvl>
    <w:lvl w:ilvl="6" w:tplc="2C1A000F" w:tentative="1">
      <w:start w:val="1"/>
      <w:numFmt w:val="decimal"/>
      <w:lvlText w:val="%7."/>
      <w:lvlJc w:val="left"/>
      <w:pPr>
        <w:ind w:left="5220" w:hanging="360"/>
      </w:pPr>
    </w:lvl>
    <w:lvl w:ilvl="7" w:tplc="2C1A0019" w:tentative="1">
      <w:start w:val="1"/>
      <w:numFmt w:val="lowerLetter"/>
      <w:lvlText w:val="%8."/>
      <w:lvlJc w:val="left"/>
      <w:pPr>
        <w:ind w:left="5940" w:hanging="360"/>
      </w:pPr>
    </w:lvl>
    <w:lvl w:ilvl="8" w:tplc="2C1A001B" w:tentative="1">
      <w:start w:val="1"/>
      <w:numFmt w:val="lowerRoman"/>
      <w:lvlText w:val="%9."/>
      <w:lvlJc w:val="right"/>
      <w:pPr>
        <w:ind w:left="6660" w:hanging="180"/>
      </w:pPr>
    </w:lvl>
  </w:abstractNum>
  <w:abstractNum w:abstractNumId="23">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1"/>
  </w:num>
  <w:num w:numId="4">
    <w:abstractNumId w:val="10"/>
  </w:num>
  <w:num w:numId="5">
    <w:abstractNumId w:val="0"/>
  </w:num>
  <w:num w:numId="6">
    <w:abstractNumId w:val="1"/>
  </w:num>
  <w:num w:numId="7">
    <w:abstractNumId w:val="14"/>
  </w:num>
  <w:num w:numId="8">
    <w:abstractNumId w:val="13"/>
  </w:num>
  <w:num w:numId="9">
    <w:abstractNumId w:val="17"/>
  </w:num>
  <w:num w:numId="10">
    <w:abstractNumId w:val="4"/>
  </w:num>
  <w:num w:numId="11">
    <w:abstractNumId w:val="7"/>
  </w:num>
  <w:num w:numId="12">
    <w:abstractNumId w:val="18"/>
  </w:num>
  <w:num w:numId="13">
    <w:abstractNumId w:val="11"/>
  </w:num>
  <w:num w:numId="14">
    <w:abstractNumId w:val="9"/>
  </w:num>
  <w:num w:numId="15">
    <w:abstractNumId w:val="23"/>
  </w:num>
  <w:num w:numId="16">
    <w:abstractNumId w:val="19"/>
  </w:num>
  <w:num w:numId="17">
    <w:abstractNumId w:val="5"/>
  </w:num>
  <w:num w:numId="18">
    <w:abstractNumId w:val="2"/>
  </w:num>
  <w:num w:numId="19">
    <w:abstractNumId w:val="12"/>
  </w:num>
  <w:num w:numId="20">
    <w:abstractNumId w:val="22"/>
  </w:num>
  <w:num w:numId="21">
    <w:abstractNumId w:val="3"/>
  </w:num>
  <w:num w:numId="22">
    <w:abstractNumId w:val="2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3439"/>
    <w:rsid w:val="00015E88"/>
    <w:rsid w:val="000231E5"/>
    <w:rsid w:val="00024F9A"/>
    <w:rsid w:val="00033C7F"/>
    <w:rsid w:val="00051DFC"/>
    <w:rsid w:val="00062756"/>
    <w:rsid w:val="00082553"/>
    <w:rsid w:val="000830F1"/>
    <w:rsid w:val="000934E9"/>
    <w:rsid w:val="000B56DB"/>
    <w:rsid w:val="000D2FBD"/>
    <w:rsid w:val="000D36D4"/>
    <w:rsid w:val="000E4531"/>
    <w:rsid w:val="000F1A8B"/>
    <w:rsid w:val="00102EDA"/>
    <w:rsid w:val="001074FD"/>
    <w:rsid w:val="00111775"/>
    <w:rsid w:val="0011616B"/>
    <w:rsid w:val="001237AD"/>
    <w:rsid w:val="001256FF"/>
    <w:rsid w:val="0014664D"/>
    <w:rsid w:val="001763FD"/>
    <w:rsid w:val="001809B0"/>
    <w:rsid w:val="001907A6"/>
    <w:rsid w:val="001968DB"/>
    <w:rsid w:val="001E7E66"/>
    <w:rsid w:val="001F5B28"/>
    <w:rsid w:val="00201FBF"/>
    <w:rsid w:val="0020598C"/>
    <w:rsid w:val="002068E5"/>
    <w:rsid w:val="0021289B"/>
    <w:rsid w:val="002241F6"/>
    <w:rsid w:val="00234857"/>
    <w:rsid w:val="0024089C"/>
    <w:rsid w:val="002452A8"/>
    <w:rsid w:val="00265A0B"/>
    <w:rsid w:val="00286C49"/>
    <w:rsid w:val="00296323"/>
    <w:rsid w:val="002964C5"/>
    <w:rsid w:val="002B78A1"/>
    <w:rsid w:val="002C66A1"/>
    <w:rsid w:val="002D668C"/>
    <w:rsid w:val="002E02AC"/>
    <w:rsid w:val="002E185F"/>
    <w:rsid w:val="002F2D4A"/>
    <w:rsid w:val="0032148F"/>
    <w:rsid w:val="00360CC8"/>
    <w:rsid w:val="00370AFD"/>
    <w:rsid w:val="00374650"/>
    <w:rsid w:val="00376D77"/>
    <w:rsid w:val="00391E2C"/>
    <w:rsid w:val="00395FE6"/>
    <w:rsid w:val="003A3723"/>
    <w:rsid w:val="003B0CDB"/>
    <w:rsid w:val="003C1ECA"/>
    <w:rsid w:val="003C272D"/>
    <w:rsid w:val="003D6F25"/>
    <w:rsid w:val="003E1B90"/>
    <w:rsid w:val="003E7A71"/>
    <w:rsid w:val="003F7BEB"/>
    <w:rsid w:val="00436BBF"/>
    <w:rsid w:val="00442875"/>
    <w:rsid w:val="0044313E"/>
    <w:rsid w:val="004468DB"/>
    <w:rsid w:val="00450E99"/>
    <w:rsid w:val="0045289D"/>
    <w:rsid w:val="0045682F"/>
    <w:rsid w:val="00457DCE"/>
    <w:rsid w:val="00475153"/>
    <w:rsid w:val="00490B1A"/>
    <w:rsid w:val="004A694E"/>
    <w:rsid w:val="004B031D"/>
    <w:rsid w:val="004B33CE"/>
    <w:rsid w:val="004C2AA3"/>
    <w:rsid w:val="004E37DC"/>
    <w:rsid w:val="004E7B0C"/>
    <w:rsid w:val="004F2912"/>
    <w:rsid w:val="004F554C"/>
    <w:rsid w:val="00500887"/>
    <w:rsid w:val="00511797"/>
    <w:rsid w:val="00515462"/>
    <w:rsid w:val="00526A9A"/>
    <w:rsid w:val="0053208B"/>
    <w:rsid w:val="005341D1"/>
    <w:rsid w:val="00540B6E"/>
    <w:rsid w:val="00552944"/>
    <w:rsid w:val="0057118C"/>
    <w:rsid w:val="00583125"/>
    <w:rsid w:val="00586EC2"/>
    <w:rsid w:val="005909F5"/>
    <w:rsid w:val="005918E0"/>
    <w:rsid w:val="00591E10"/>
    <w:rsid w:val="005977F1"/>
    <w:rsid w:val="005A3313"/>
    <w:rsid w:val="005A5CE5"/>
    <w:rsid w:val="005A67EF"/>
    <w:rsid w:val="005B096B"/>
    <w:rsid w:val="005B1505"/>
    <w:rsid w:val="005D064E"/>
    <w:rsid w:val="005D354C"/>
    <w:rsid w:val="005F1684"/>
    <w:rsid w:val="005F52D8"/>
    <w:rsid w:val="0061310B"/>
    <w:rsid w:val="0063346E"/>
    <w:rsid w:val="00635C6A"/>
    <w:rsid w:val="00646DD2"/>
    <w:rsid w:val="00661C2C"/>
    <w:rsid w:val="0068173B"/>
    <w:rsid w:val="00683D1D"/>
    <w:rsid w:val="00685658"/>
    <w:rsid w:val="00690C8E"/>
    <w:rsid w:val="00691BDD"/>
    <w:rsid w:val="00694C26"/>
    <w:rsid w:val="006A610B"/>
    <w:rsid w:val="006B0020"/>
    <w:rsid w:val="006C2BC8"/>
    <w:rsid w:val="006C4577"/>
    <w:rsid w:val="006D0DD8"/>
    <w:rsid w:val="006D31BA"/>
    <w:rsid w:val="006D364E"/>
    <w:rsid w:val="006D3B20"/>
    <w:rsid w:val="006E630C"/>
    <w:rsid w:val="006E7FFD"/>
    <w:rsid w:val="006F306A"/>
    <w:rsid w:val="006F3BED"/>
    <w:rsid w:val="00701C65"/>
    <w:rsid w:val="0070748C"/>
    <w:rsid w:val="0071131D"/>
    <w:rsid w:val="0071381B"/>
    <w:rsid w:val="007138CC"/>
    <w:rsid w:val="0071597C"/>
    <w:rsid w:val="00721384"/>
    <w:rsid w:val="00721F11"/>
    <w:rsid w:val="00722BE9"/>
    <w:rsid w:val="007262B8"/>
    <w:rsid w:val="00727893"/>
    <w:rsid w:val="00727BFA"/>
    <w:rsid w:val="0073006B"/>
    <w:rsid w:val="00734793"/>
    <w:rsid w:val="00761C42"/>
    <w:rsid w:val="00762A5F"/>
    <w:rsid w:val="00772892"/>
    <w:rsid w:val="007A0833"/>
    <w:rsid w:val="007C439F"/>
    <w:rsid w:val="007C7474"/>
    <w:rsid w:val="007D22EA"/>
    <w:rsid w:val="007E3885"/>
    <w:rsid w:val="007F1C7D"/>
    <w:rsid w:val="007F29C9"/>
    <w:rsid w:val="007F6516"/>
    <w:rsid w:val="00801EBB"/>
    <w:rsid w:val="0080201B"/>
    <w:rsid w:val="008153A2"/>
    <w:rsid w:val="008170C7"/>
    <w:rsid w:val="0082227D"/>
    <w:rsid w:val="00834899"/>
    <w:rsid w:val="00834BE1"/>
    <w:rsid w:val="008435D5"/>
    <w:rsid w:val="00875F46"/>
    <w:rsid w:val="008A2D7D"/>
    <w:rsid w:val="008A6E74"/>
    <w:rsid w:val="008F0B58"/>
    <w:rsid w:val="008F4365"/>
    <w:rsid w:val="00932A4C"/>
    <w:rsid w:val="0094579F"/>
    <w:rsid w:val="00951B41"/>
    <w:rsid w:val="00955E23"/>
    <w:rsid w:val="00960506"/>
    <w:rsid w:val="0096291E"/>
    <w:rsid w:val="009660FC"/>
    <w:rsid w:val="00980A5A"/>
    <w:rsid w:val="00983463"/>
    <w:rsid w:val="00990C91"/>
    <w:rsid w:val="009940F4"/>
    <w:rsid w:val="009A4481"/>
    <w:rsid w:val="009C623C"/>
    <w:rsid w:val="009D3156"/>
    <w:rsid w:val="009E0314"/>
    <w:rsid w:val="009E19A5"/>
    <w:rsid w:val="009E513B"/>
    <w:rsid w:val="009E6AAE"/>
    <w:rsid w:val="009E7767"/>
    <w:rsid w:val="00A02B81"/>
    <w:rsid w:val="00A1516C"/>
    <w:rsid w:val="00A21C40"/>
    <w:rsid w:val="00A3312B"/>
    <w:rsid w:val="00A37509"/>
    <w:rsid w:val="00A46BEA"/>
    <w:rsid w:val="00A625F1"/>
    <w:rsid w:val="00A7521D"/>
    <w:rsid w:val="00A76416"/>
    <w:rsid w:val="00A81519"/>
    <w:rsid w:val="00A8251D"/>
    <w:rsid w:val="00A829CA"/>
    <w:rsid w:val="00A84004"/>
    <w:rsid w:val="00A97D17"/>
    <w:rsid w:val="00AA266D"/>
    <w:rsid w:val="00AC5346"/>
    <w:rsid w:val="00AD081C"/>
    <w:rsid w:val="00AF1476"/>
    <w:rsid w:val="00B06AD0"/>
    <w:rsid w:val="00B140C0"/>
    <w:rsid w:val="00B15E8C"/>
    <w:rsid w:val="00B44E8F"/>
    <w:rsid w:val="00B528C5"/>
    <w:rsid w:val="00B760F2"/>
    <w:rsid w:val="00B76EC1"/>
    <w:rsid w:val="00BC1770"/>
    <w:rsid w:val="00BC4E6C"/>
    <w:rsid w:val="00BE0042"/>
    <w:rsid w:val="00BE274E"/>
    <w:rsid w:val="00BE7EAC"/>
    <w:rsid w:val="00BF4F9C"/>
    <w:rsid w:val="00C005FF"/>
    <w:rsid w:val="00C04CAD"/>
    <w:rsid w:val="00C1169F"/>
    <w:rsid w:val="00C17AC7"/>
    <w:rsid w:val="00C2281E"/>
    <w:rsid w:val="00C4645E"/>
    <w:rsid w:val="00C47958"/>
    <w:rsid w:val="00C6706F"/>
    <w:rsid w:val="00C85D47"/>
    <w:rsid w:val="00C924DD"/>
    <w:rsid w:val="00C977B9"/>
    <w:rsid w:val="00CA1C7E"/>
    <w:rsid w:val="00CA2D92"/>
    <w:rsid w:val="00CD5535"/>
    <w:rsid w:val="00CE13BE"/>
    <w:rsid w:val="00CE76F0"/>
    <w:rsid w:val="00D06798"/>
    <w:rsid w:val="00D238F7"/>
    <w:rsid w:val="00D24EBF"/>
    <w:rsid w:val="00D323E0"/>
    <w:rsid w:val="00D34760"/>
    <w:rsid w:val="00D40D7E"/>
    <w:rsid w:val="00D4465D"/>
    <w:rsid w:val="00D52FE9"/>
    <w:rsid w:val="00D53F99"/>
    <w:rsid w:val="00D554FB"/>
    <w:rsid w:val="00D65A8D"/>
    <w:rsid w:val="00D76796"/>
    <w:rsid w:val="00D845D3"/>
    <w:rsid w:val="00D92BF0"/>
    <w:rsid w:val="00D9406F"/>
    <w:rsid w:val="00D95638"/>
    <w:rsid w:val="00D97514"/>
    <w:rsid w:val="00D9792E"/>
    <w:rsid w:val="00DA0AAD"/>
    <w:rsid w:val="00DA25FC"/>
    <w:rsid w:val="00DA7958"/>
    <w:rsid w:val="00DB209A"/>
    <w:rsid w:val="00DB7F1F"/>
    <w:rsid w:val="00DC0D30"/>
    <w:rsid w:val="00DC2899"/>
    <w:rsid w:val="00DD32C2"/>
    <w:rsid w:val="00DD541F"/>
    <w:rsid w:val="00DE4326"/>
    <w:rsid w:val="00DF5D67"/>
    <w:rsid w:val="00E15075"/>
    <w:rsid w:val="00E2593E"/>
    <w:rsid w:val="00E44EBA"/>
    <w:rsid w:val="00E46FF4"/>
    <w:rsid w:val="00E51184"/>
    <w:rsid w:val="00E5745A"/>
    <w:rsid w:val="00E65EBC"/>
    <w:rsid w:val="00E74FCC"/>
    <w:rsid w:val="00E80CE8"/>
    <w:rsid w:val="00E9316D"/>
    <w:rsid w:val="00EB2B61"/>
    <w:rsid w:val="00EB3E4C"/>
    <w:rsid w:val="00EB6D91"/>
    <w:rsid w:val="00EC65BA"/>
    <w:rsid w:val="00EE635D"/>
    <w:rsid w:val="00F04C83"/>
    <w:rsid w:val="00F04E85"/>
    <w:rsid w:val="00F0570C"/>
    <w:rsid w:val="00F43DCB"/>
    <w:rsid w:val="00F46874"/>
    <w:rsid w:val="00F4796F"/>
    <w:rsid w:val="00F66123"/>
    <w:rsid w:val="00F747E4"/>
    <w:rsid w:val="00FA19B7"/>
    <w:rsid w:val="00FA7F3C"/>
    <w:rsid w:val="00FB02A0"/>
    <w:rsid w:val="00FB1E4F"/>
    <w:rsid w:val="00FC59B7"/>
    <w:rsid w:val="00FE748F"/>
    <w:rsid w:val="00FF1301"/>
    <w:rsid w:val="00FF449B"/>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115">
      <w:bodyDiv w:val="1"/>
      <w:marLeft w:val="0"/>
      <w:marRight w:val="0"/>
      <w:marTop w:val="0"/>
      <w:marBottom w:val="0"/>
      <w:divBdr>
        <w:top w:val="none" w:sz="0" w:space="0" w:color="auto"/>
        <w:left w:val="none" w:sz="0" w:space="0" w:color="auto"/>
        <w:bottom w:val="none" w:sz="0" w:space="0" w:color="auto"/>
        <w:right w:val="none" w:sz="0" w:space="0" w:color="auto"/>
      </w:divBdr>
    </w:div>
    <w:div w:id="185561247">
      <w:bodyDiv w:val="1"/>
      <w:marLeft w:val="0"/>
      <w:marRight w:val="0"/>
      <w:marTop w:val="0"/>
      <w:marBottom w:val="0"/>
      <w:divBdr>
        <w:top w:val="none" w:sz="0" w:space="0" w:color="auto"/>
        <w:left w:val="none" w:sz="0" w:space="0" w:color="auto"/>
        <w:bottom w:val="none" w:sz="0" w:space="0" w:color="auto"/>
        <w:right w:val="none" w:sz="0" w:space="0" w:color="auto"/>
      </w:divBdr>
    </w:div>
    <w:div w:id="410086459">
      <w:bodyDiv w:val="1"/>
      <w:marLeft w:val="0"/>
      <w:marRight w:val="0"/>
      <w:marTop w:val="0"/>
      <w:marBottom w:val="0"/>
      <w:divBdr>
        <w:top w:val="none" w:sz="0" w:space="0" w:color="auto"/>
        <w:left w:val="none" w:sz="0" w:space="0" w:color="auto"/>
        <w:bottom w:val="none" w:sz="0" w:space="0" w:color="auto"/>
        <w:right w:val="none" w:sz="0" w:space="0" w:color="auto"/>
      </w:divBdr>
    </w:div>
    <w:div w:id="490558839">
      <w:bodyDiv w:val="1"/>
      <w:marLeft w:val="0"/>
      <w:marRight w:val="0"/>
      <w:marTop w:val="0"/>
      <w:marBottom w:val="0"/>
      <w:divBdr>
        <w:top w:val="none" w:sz="0" w:space="0" w:color="auto"/>
        <w:left w:val="none" w:sz="0" w:space="0" w:color="auto"/>
        <w:bottom w:val="none" w:sz="0" w:space="0" w:color="auto"/>
        <w:right w:val="none" w:sz="0" w:space="0" w:color="auto"/>
      </w:divBdr>
    </w:div>
    <w:div w:id="742144479">
      <w:bodyDiv w:val="1"/>
      <w:marLeft w:val="0"/>
      <w:marRight w:val="0"/>
      <w:marTop w:val="0"/>
      <w:marBottom w:val="0"/>
      <w:divBdr>
        <w:top w:val="none" w:sz="0" w:space="0" w:color="auto"/>
        <w:left w:val="none" w:sz="0" w:space="0" w:color="auto"/>
        <w:bottom w:val="none" w:sz="0" w:space="0" w:color="auto"/>
        <w:right w:val="none" w:sz="0" w:space="0" w:color="auto"/>
      </w:divBdr>
    </w:div>
    <w:div w:id="8138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EEE0-361B-4176-B539-62616DE5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2016-03-11T15:04:00Z</cp:lastPrinted>
  <dcterms:created xsi:type="dcterms:W3CDTF">2016-03-11T15:04:00Z</dcterms:created>
  <dcterms:modified xsi:type="dcterms:W3CDTF">2016-03-11T15:04:00Z</dcterms:modified>
</cp:coreProperties>
</file>