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00" w:rsidRPr="00D45FDA" w:rsidRDefault="00E83400" w:rsidP="00D45FDA">
      <w:pPr>
        <w:tabs>
          <w:tab w:val="left" w:pos="0"/>
        </w:tabs>
        <w:ind w:right="283"/>
        <w:jc w:val="both"/>
        <w:rPr>
          <w:rFonts w:asciiTheme="majorHAnsi" w:hAnsiTheme="majorHAnsi"/>
          <w:lang w:val="sr-Latn-ME"/>
        </w:rPr>
      </w:pPr>
    </w:p>
    <w:p w:rsidR="001A7FAB" w:rsidRDefault="00D45FDA" w:rsidP="001A7FAB">
      <w:pPr>
        <w:spacing w:after="0"/>
        <w:ind w:right="283"/>
        <w:jc w:val="both"/>
        <w:rPr>
          <w:rFonts w:asciiTheme="majorHAnsi" w:hAnsiTheme="majorHAnsi"/>
          <w:sz w:val="24"/>
          <w:szCs w:val="24"/>
          <w:lang w:val="sr-Latn-ME"/>
        </w:rPr>
      </w:pPr>
      <w:r w:rsidRPr="00D45FDA">
        <w:rPr>
          <w:rFonts w:asciiTheme="majorHAnsi" w:hAnsiTheme="majorHAnsi"/>
          <w:noProof/>
          <w:lang w:val="sr-Latn-ME" w:eastAsia="sr-Latn-ME"/>
        </w:rPr>
        <mc:AlternateContent>
          <mc:Choice Requires="wps">
            <w:drawing>
              <wp:anchor distT="0" distB="0" distL="114300" distR="114300" simplePos="0" relativeHeight="251659264" behindDoc="0" locked="0" layoutInCell="1" allowOverlap="1" wp14:anchorId="401FD0E4" wp14:editId="1F9D96D8">
                <wp:simplePos x="0" y="0"/>
                <wp:positionH relativeFrom="column">
                  <wp:posOffset>-264326</wp:posOffset>
                </wp:positionH>
                <wp:positionV relativeFrom="paragraph">
                  <wp:posOffset>16427</wp:posOffset>
                </wp:positionV>
                <wp:extent cx="5860112"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flipV="1">
                          <a:off x="0" y="0"/>
                          <a:ext cx="5860112" cy="152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pt" to="4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" strokecolor="#bfbfbf [2412]"/>
            </w:pict>
          </mc:Fallback>
        </mc:AlternateContent>
      </w: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E85BCC" w:rsidRDefault="007715E0" w:rsidP="00A34259">
      <w:pPr>
        <w:shd w:val="clear" w:color="auto" w:fill="F3F3F3"/>
        <w:spacing w:after="0" w:line="240" w:lineRule="auto"/>
        <w:rPr>
          <w:rFonts w:ascii="Arial" w:eastAsiaTheme="minorEastAsia" w:hAnsi="Arial" w:cs="Arial"/>
          <w:sz w:val="40"/>
          <w:szCs w:val="40"/>
          <w:lang w:val="sr-Latn-CS"/>
        </w:rPr>
      </w:pPr>
      <w:r>
        <w:rPr>
          <w:rFonts w:eastAsiaTheme="minorEastAsia" w:cstheme="minorHAnsi"/>
          <w:noProof/>
          <w:sz w:val="40"/>
          <w:szCs w:val="40"/>
          <w:lang w:val="sr-Latn-ME" w:eastAsia="sr-Latn-ME"/>
        </w:rPr>
        <w:drawing>
          <wp:anchor distT="0" distB="0" distL="114300" distR="114300" simplePos="0" relativeHeight="251660288" behindDoc="0" locked="0" layoutInCell="1" allowOverlap="1" wp14:anchorId="687F0F14" wp14:editId="6D725611">
            <wp:simplePos x="0" y="0"/>
            <wp:positionH relativeFrom="column">
              <wp:posOffset>4018915</wp:posOffset>
            </wp:positionH>
            <wp:positionV relativeFrom="paragraph">
              <wp:posOffset>247650</wp:posOffset>
            </wp:positionV>
            <wp:extent cx="1576705" cy="864870"/>
            <wp:effectExtent l="0" t="0" r="4445" b="0"/>
            <wp:wrapNone/>
            <wp:docPr id="3" name="Picture 3" descr="finalni_logo_cemija [Convert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ni_logo_cemija [Converte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70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FAB" w:rsidRPr="005B6E2A" w:rsidRDefault="001A7FAB" w:rsidP="00A34259">
      <w:pPr>
        <w:shd w:val="clear" w:color="auto" w:fill="F3F3F3"/>
        <w:spacing w:after="0" w:line="240" w:lineRule="auto"/>
        <w:rPr>
          <w:rFonts w:eastAsiaTheme="minorEastAsia" w:cstheme="minorHAnsi"/>
          <w:sz w:val="40"/>
          <w:szCs w:val="40"/>
          <w:lang w:val="sr-Latn-CS"/>
        </w:rPr>
      </w:pPr>
      <w:r w:rsidRPr="005B6E2A">
        <w:rPr>
          <w:rFonts w:eastAsiaTheme="minorEastAsia" w:cstheme="minorHAnsi"/>
          <w:sz w:val="40"/>
          <w:szCs w:val="40"/>
          <w:lang w:val="sr-Latn-CS"/>
        </w:rPr>
        <w:t xml:space="preserve">N A C </w:t>
      </w:r>
      <w:bookmarkStart w:id="0" w:name="_GoBack"/>
      <w:bookmarkEnd w:id="0"/>
      <w:r w:rsidRPr="005B6E2A">
        <w:rPr>
          <w:rFonts w:eastAsiaTheme="minorEastAsia" w:cstheme="minorHAnsi"/>
          <w:sz w:val="40"/>
          <w:szCs w:val="40"/>
          <w:lang w:val="sr-Latn-CS"/>
        </w:rPr>
        <w:t xml:space="preserve">R T </w:t>
      </w: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A34259" w:rsidRDefault="00A34259" w:rsidP="001A7FAB">
      <w:pPr>
        <w:shd w:val="clear" w:color="auto" w:fill="F3F3F3"/>
        <w:spacing w:after="0" w:line="240" w:lineRule="auto"/>
        <w:jc w:val="center"/>
        <w:rPr>
          <w:rFonts w:ascii="Arial" w:eastAsiaTheme="minorEastAsia" w:hAnsi="Arial" w:cs="Arial"/>
          <w:b/>
          <w:sz w:val="28"/>
          <w:szCs w:val="28"/>
          <w:lang w:val="sr-Latn-CS"/>
        </w:rPr>
      </w:pPr>
    </w:p>
    <w:p w:rsidR="007715E0" w:rsidRPr="007715E0" w:rsidRDefault="007715E0" w:rsidP="007715E0">
      <w:pPr>
        <w:shd w:val="clear" w:color="auto" w:fill="F3F3F3"/>
        <w:spacing w:after="0" w:line="240" w:lineRule="auto"/>
        <w:jc w:val="center"/>
        <w:rPr>
          <w:rFonts w:eastAsiaTheme="minorEastAsia" w:cstheme="minorHAnsi"/>
          <w:b/>
          <w:sz w:val="40"/>
          <w:szCs w:val="38"/>
          <w:lang w:val="sr-Latn-ME"/>
        </w:rPr>
      </w:pPr>
      <w:r w:rsidRPr="007715E0">
        <w:rPr>
          <w:rFonts w:eastAsiaTheme="minorEastAsia" w:cstheme="minorHAnsi"/>
          <w:b/>
          <w:sz w:val="40"/>
          <w:szCs w:val="38"/>
          <w:lang w:val="sr-Latn-ME"/>
        </w:rPr>
        <w:t>Stručna analiza</w:t>
      </w:r>
    </w:p>
    <w:p w:rsidR="007715E0" w:rsidRPr="007715E0" w:rsidRDefault="007715E0" w:rsidP="007715E0">
      <w:pPr>
        <w:shd w:val="clear" w:color="auto" w:fill="F3F3F3"/>
        <w:spacing w:after="0" w:line="240" w:lineRule="auto"/>
        <w:jc w:val="center"/>
        <w:rPr>
          <w:rFonts w:eastAsiaTheme="minorEastAsia" w:cstheme="minorHAnsi"/>
          <w:b/>
          <w:sz w:val="40"/>
          <w:szCs w:val="38"/>
          <w:lang w:val="sr-Latn-ME"/>
        </w:rPr>
      </w:pPr>
    </w:p>
    <w:p w:rsidR="007715E0" w:rsidRPr="007715E0" w:rsidRDefault="007715E0" w:rsidP="007715E0">
      <w:pPr>
        <w:shd w:val="clear" w:color="auto" w:fill="F3F3F3"/>
        <w:spacing w:after="0" w:line="240" w:lineRule="auto"/>
        <w:jc w:val="center"/>
        <w:rPr>
          <w:rFonts w:eastAsiaTheme="minorEastAsia" w:cstheme="minorHAnsi"/>
          <w:b/>
          <w:sz w:val="40"/>
          <w:szCs w:val="38"/>
          <w:lang w:val="sr-Latn-ME"/>
        </w:rPr>
      </w:pPr>
      <w:r w:rsidRPr="007715E0">
        <w:rPr>
          <w:rFonts w:eastAsiaTheme="minorEastAsia" w:cstheme="minorHAnsi"/>
          <w:b/>
          <w:sz w:val="40"/>
          <w:szCs w:val="38"/>
          <w:lang w:val="sr-Latn-ME"/>
        </w:rPr>
        <w:t>"Odbrana po službenoj dužnosti – domino efekat zaobilaženja zakonske procedure"</w:t>
      </w:r>
    </w:p>
    <w:p w:rsidR="001A7FAB" w:rsidRPr="004F0F51" w:rsidRDefault="001A7FAB" w:rsidP="00662176">
      <w:pPr>
        <w:shd w:val="clear" w:color="auto" w:fill="F3F3F3"/>
        <w:spacing w:after="0" w:line="240" w:lineRule="auto"/>
        <w:jc w:val="center"/>
        <w:rPr>
          <w:rFonts w:eastAsiaTheme="minorEastAsia" w:cstheme="minorHAnsi"/>
          <w:sz w:val="36"/>
          <w:szCs w:val="28"/>
          <w:lang w:val="sr-Latn-CS"/>
        </w:rPr>
      </w:pPr>
    </w:p>
    <w:p w:rsidR="00A34259" w:rsidRPr="00736684" w:rsidRDefault="00A34259" w:rsidP="00A34259">
      <w:pPr>
        <w:shd w:val="clear" w:color="auto" w:fill="F3F3F3"/>
        <w:spacing w:after="0" w:line="240" w:lineRule="auto"/>
        <w:jc w:val="center"/>
        <w:rPr>
          <w:rFonts w:eastAsiaTheme="minorEastAsia" w:cstheme="minorHAnsi"/>
          <w:b/>
          <w:sz w:val="28"/>
          <w:szCs w:val="28"/>
          <w:lang w:val="sr-Latn-CS"/>
        </w:rPr>
      </w:pPr>
    </w:p>
    <w:p w:rsidR="00A34259" w:rsidRPr="00736684" w:rsidRDefault="00A34259" w:rsidP="00A34259">
      <w:pPr>
        <w:shd w:val="clear" w:color="auto" w:fill="F3F3F3"/>
        <w:spacing w:after="0" w:line="240" w:lineRule="auto"/>
        <w:jc w:val="center"/>
        <w:rPr>
          <w:rFonts w:ascii="Arial" w:eastAsiaTheme="minorEastAsia" w:hAnsi="Arial" w:cs="Arial"/>
          <w:b/>
          <w:sz w:val="28"/>
          <w:szCs w:val="28"/>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46054F" w:rsidRDefault="0046054F" w:rsidP="001A7FAB">
      <w:pPr>
        <w:spacing w:after="0" w:line="240" w:lineRule="auto"/>
        <w:jc w:val="both"/>
        <w:rPr>
          <w:rFonts w:ascii="Arial" w:eastAsiaTheme="minorEastAsia" w:hAnsi="Arial" w:cs="Arial"/>
          <w:sz w:val="24"/>
          <w:szCs w:val="24"/>
          <w:lang w:val="sr-Latn-CS"/>
        </w:rPr>
      </w:pPr>
    </w:p>
    <w:p w:rsidR="0046054F" w:rsidRDefault="0046054F" w:rsidP="001A7FAB">
      <w:pPr>
        <w:spacing w:after="0" w:line="240" w:lineRule="auto"/>
        <w:jc w:val="both"/>
        <w:rPr>
          <w:rFonts w:ascii="Arial" w:eastAsiaTheme="minorEastAsia" w:hAnsi="Arial" w:cs="Arial"/>
          <w:sz w:val="24"/>
          <w:szCs w:val="24"/>
          <w:lang w:val="sr-Latn-CS"/>
        </w:rPr>
      </w:pPr>
    </w:p>
    <w:p w:rsidR="00B06D48" w:rsidRDefault="00B06D48" w:rsidP="001A7FAB">
      <w:pPr>
        <w:spacing w:after="0" w:line="240" w:lineRule="auto"/>
        <w:jc w:val="both"/>
        <w:rPr>
          <w:rFonts w:ascii="Arial" w:eastAsiaTheme="minorEastAsia" w:hAnsi="Arial" w:cs="Arial"/>
          <w:sz w:val="24"/>
          <w:szCs w:val="24"/>
          <w:lang w:val="sr-Latn-CS"/>
        </w:rPr>
      </w:pPr>
    </w:p>
    <w:p w:rsidR="007715E0" w:rsidRDefault="007715E0" w:rsidP="007715E0">
      <w:pPr>
        <w:pStyle w:val="StandardQuiz"/>
        <w:spacing w:line="276" w:lineRule="auto"/>
        <w:jc w:val="center"/>
        <w:rPr>
          <w:rFonts w:ascii="Cambria" w:hAnsi="Cambria" w:cs="Calibri"/>
          <w:b/>
          <w:lang w:val="sr-Latn-ME"/>
        </w:rPr>
      </w:pPr>
      <w:r>
        <w:rPr>
          <w:rFonts w:ascii="Cambria" w:hAnsi="Cambria" w:cs="Calibri"/>
          <w:b/>
          <w:lang w:val="en-GB"/>
        </w:rPr>
        <w:lastRenderedPageBreak/>
        <w:t>STRU</w:t>
      </w:r>
      <w:r w:rsidRPr="007D69AD">
        <w:rPr>
          <w:rFonts w:ascii="Cambria" w:hAnsi="Cambria" w:cs="Calibri"/>
          <w:b/>
          <w:lang w:val="sr-Latn-ME"/>
        </w:rPr>
        <w:t>Č</w:t>
      </w:r>
      <w:r>
        <w:rPr>
          <w:rFonts w:ascii="Cambria" w:hAnsi="Cambria" w:cs="Calibri"/>
          <w:b/>
          <w:lang w:val="en-GB"/>
        </w:rPr>
        <w:t>NA</w:t>
      </w:r>
      <w:r w:rsidRPr="007D69AD">
        <w:rPr>
          <w:rFonts w:ascii="Cambria" w:hAnsi="Cambria" w:cs="Calibri"/>
          <w:b/>
          <w:lang w:val="sr-Latn-ME"/>
        </w:rPr>
        <w:t xml:space="preserve"> </w:t>
      </w:r>
      <w:r>
        <w:rPr>
          <w:rFonts w:ascii="Cambria" w:hAnsi="Cambria" w:cs="Calibri"/>
          <w:b/>
          <w:lang w:val="en-GB"/>
        </w:rPr>
        <w:t>ANALIZA</w:t>
      </w:r>
      <w:r w:rsidRPr="007D69AD">
        <w:rPr>
          <w:rFonts w:ascii="Cambria" w:hAnsi="Cambria" w:cs="Calibri"/>
          <w:b/>
          <w:lang w:val="sr-Latn-ME"/>
        </w:rPr>
        <w:t xml:space="preserve"> “</w:t>
      </w:r>
      <w:r>
        <w:rPr>
          <w:rFonts w:ascii="Cambria" w:hAnsi="Cambria" w:cs="Calibri"/>
          <w:b/>
          <w:lang w:val="en-GB"/>
        </w:rPr>
        <w:t>ODBRANA PO SLUŽBENOJ DUŽNOSTI – DOMINO EFEKAT ZAOBILAŽENJA ZAKONSKE PROCEDURE</w:t>
      </w:r>
      <w:r w:rsidRPr="007D69AD">
        <w:rPr>
          <w:rFonts w:ascii="Cambria" w:hAnsi="Cambria" w:cs="Calibri"/>
          <w:b/>
          <w:lang w:val="sr-Latn-ME"/>
        </w:rPr>
        <w:t>”</w:t>
      </w:r>
    </w:p>
    <w:p w:rsidR="007715E0" w:rsidRDefault="007715E0" w:rsidP="007715E0">
      <w:pPr>
        <w:pStyle w:val="StandardQuiz"/>
        <w:spacing w:line="276" w:lineRule="auto"/>
        <w:jc w:val="center"/>
        <w:rPr>
          <w:rFonts w:ascii="Cambria" w:hAnsi="Cambria" w:cs="Calibri"/>
          <w:b/>
          <w:lang w:val="sr-Latn-ME"/>
        </w:rPr>
      </w:pPr>
      <w:r>
        <w:rPr>
          <w:noProof/>
          <w:lang w:val="sr-Latn-ME" w:eastAsia="sr-Latn-ME"/>
        </w:rPr>
        <w:drawing>
          <wp:anchor distT="0" distB="0" distL="114300" distR="114300" simplePos="0" relativeHeight="251664384" behindDoc="0" locked="0" layoutInCell="1" allowOverlap="1">
            <wp:simplePos x="0" y="0"/>
            <wp:positionH relativeFrom="column">
              <wp:posOffset>2320290</wp:posOffset>
            </wp:positionH>
            <wp:positionV relativeFrom="paragraph">
              <wp:posOffset>66040</wp:posOffset>
            </wp:positionV>
            <wp:extent cx="1124585" cy="618490"/>
            <wp:effectExtent l="0" t="0" r="0" b="0"/>
            <wp:wrapNone/>
            <wp:docPr id="27" name="Picture 27" descr="finalni_logo_cemija [Convert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ni_logo_cemija [Converted]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58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5E0" w:rsidRDefault="007715E0" w:rsidP="007715E0">
      <w:pPr>
        <w:pStyle w:val="StandardQuiz"/>
        <w:spacing w:line="276" w:lineRule="auto"/>
        <w:jc w:val="center"/>
        <w:rPr>
          <w:rFonts w:ascii="Cambria" w:hAnsi="Cambria" w:cs="Calibri"/>
          <w:b/>
          <w:lang w:val="sr-Latn-ME"/>
        </w:rPr>
      </w:pPr>
    </w:p>
    <w:p w:rsidR="007715E0" w:rsidRDefault="007715E0" w:rsidP="007715E0">
      <w:pPr>
        <w:pStyle w:val="StandardQuiz"/>
        <w:spacing w:line="276" w:lineRule="auto"/>
        <w:jc w:val="center"/>
        <w:rPr>
          <w:rFonts w:ascii="Cambria" w:hAnsi="Cambria" w:cs="Calibri"/>
          <w:b/>
          <w:lang w:val="sr-Latn-ME"/>
        </w:rPr>
      </w:pPr>
    </w:p>
    <w:p w:rsidR="007715E0" w:rsidRPr="001316C8" w:rsidRDefault="007715E0" w:rsidP="007715E0">
      <w:pPr>
        <w:pStyle w:val="StandardQuiz"/>
        <w:spacing w:line="276" w:lineRule="auto"/>
        <w:jc w:val="center"/>
        <w:rPr>
          <w:rFonts w:ascii="Cambria" w:hAnsi="Cambria" w:cs="Calibri"/>
          <w:b/>
          <w:lang w:val="sr-Latn-ME"/>
        </w:rPr>
      </w:pPr>
    </w:p>
    <w:p w:rsidR="007715E0" w:rsidRDefault="007715E0" w:rsidP="007715E0">
      <w:pPr>
        <w:pStyle w:val="StandardQuiz"/>
        <w:spacing w:line="276" w:lineRule="auto"/>
        <w:jc w:val="center"/>
        <w:rPr>
          <w:rFonts w:ascii="Cambria" w:hAnsi="Cambria" w:cs="Calibri"/>
          <w:b/>
          <w:sz w:val="24"/>
          <w:lang w:val="it-IT"/>
        </w:rPr>
      </w:pPr>
    </w:p>
    <w:p w:rsidR="007715E0" w:rsidRPr="001316C8" w:rsidRDefault="007715E0" w:rsidP="007715E0">
      <w:pPr>
        <w:pStyle w:val="StandardQuiz"/>
        <w:spacing w:line="276" w:lineRule="auto"/>
        <w:jc w:val="center"/>
        <w:rPr>
          <w:rFonts w:ascii="Cambria" w:hAnsi="Cambria" w:cs="Calibri"/>
          <w:b/>
          <w:sz w:val="24"/>
          <w:lang w:val="it-IT"/>
        </w:rPr>
      </w:pPr>
      <w:r w:rsidRPr="001316C8">
        <w:rPr>
          <w:rFonts w:ascii="Cambria" w:hAnsi="Cambria" w:cs="Calibri"/>
          <w:b/>
          <w:sz w:val="24"/>
          <w:lang w:val="it-IT"/>
        </w:rPr>
        <w:t xml:space="preserve">Izdavač: </w:t>
      </w:r>
    </w:p>
    <w:p w:rsidR="007715E0" w:rsidRPr="001316C8"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Centar za monitoring i istraživanje</w:t>
      </w:r>
    </w:p>
    <w:p w:rsidR="007715E0" w:rsidRPr="001316C8"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Tel/fax: +382 (0) 20 511 424</w:t>
      </w:r>
    </w:p>
    <w:p w:rsidR="007715E0" w:rsidRPr="001316C8"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E-mail: cemi@t-com.me</w:t>
      </w:r>
    </w:p>
    <w:p w:rsidR="007715E0" w:rsidRPr="001316C8"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www.cemi.org.me</w:t>
      </w:r>
    </w:p>
    <w:p w:rsidR="007715E0" w:rsidRPr="001316C8" w:rsidRDefault="007715E0" w:rsidP="007715E0">
      <w:pPr>
        <w:pStyle w:val="StandardQuiz"/>
        <w:spacing w:line="276" w:lineRule="auto"/>
        <w:jc w:val="both"/>
        <w:rPr>
          <w:rFonts w:ascii="Cambria" w:hAnsi="Cambria" w:cs="Calibri"/>
          <w:b/>
          <w:sz w:val="24"/>
          <w:lang w:val="it-IT"/>
        </w:rPr>
      </w:pPr>
    </w:p>
    <w:p w:rsidR="007715E0" w:rsidRPr="001316C8" w:rsidRDefault="007715E0" w:rsidP="007715E0">
      <w:pPr>
        <w:pStyle w:val="StandardQuiz"/>
        <w:spacing w:line="276" w:lineRule="auto"/>
        <w:jc w:val="center"/>
        <w:rPr>
          <w:rFonts w:ascii="Cambria" w:hAnsi="Cambria" w:cs="Calibri"/>
          <w:b/>
          <w:sz w:val="24"/>
          <w:lang w:val="it-IT"/>
        </w:rPr>
      </w:pPr>
      <w:r w:rsidRPr="001316C8">
        <w:rPr>
          <w:rFonts w:ascii="Cambria" w:hAnsi="Cambria" w:cs="Calibri"/>
          <w:b/>
          <w:sz w:val="24"/>
          <w:lang w:val="it-IT"/>
        </w:rPr>
        <w:t xml:space="preserve">Za izdavača: </w:t>
      </w:r>
    </w:p>
    <w:p w:rsidR="007715E0" w:rsidRPr="001316C8"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mr Zlatko Vujović</w:t>
      </w:r>
    </w:p>
    <w:p w:rsidR="007715E0" w:rsidRPr="001316C8" w:rsidRDefault="007715E0" w:rsidP="007715E0">
      <w:pPr>
        <w:pStyle w:val="StandardQuiz"/>
        <w:spacing w:line="276" w:lineRule="auto"/>
        <w:jc w:val="both"/>
        <w:rPr>
          <w:rFonts w:ascii="Cambria" w:hAnsi="Cambria" w:cs="Calibri"/>
          <w:b/>
          <w:sz w:val="24"/>
          <w:lang w:val="it-IT"/>
        </w:rPr>
      </w:pPr>
    </w:p>
    <w:p w:rsidR="007715E0" w:rsidRPr="001316C8" w:rsidRDefault="007715E0" w:rsidP="007715E0">
      <w:pPr>
        <w:pStyle w:val="StandardQuiz"/>
        <w:spacing w:line="276" w:lineRule="auto"/>
        <w:jc w:val="center"/>
        <w:rPr>
          <w:rFonts w:ascii="Cambria" w:hAnsi="Cambria" w:cs="Calibri"/>
          <w:b/>
          <w:sz w:val="24"/>
          <w:lang w:val="it-IT"/>
        </w:rPr>
      </w:pPr>
      <w:r w:rsidRPr="001316C8">
        <w:rPr>
          <w:rFonts w:ascii="Cambria" w:hAnsi="Cambria" w:cs="Calibri"/>
          <w:b/>
          <w:sz w:val="24"/>
          <w:lang w:val="it-IT"/>
        </w:rPr>
        <w:t>Urednik:</w:t>
      </w:r>
    </w:p>
    <w:p w:rsidR="007715E0" w:rsidRPr="00635248" w:rsidRDefault="007715E0" w:rsidP="007715E0">
      <w:pPr>
        <w:pStyle w:val="StandardQuiz"/>
        <w:spacing w:line="276" w:lineRule="auto"/>
        <w:jc w:val="center"/>
        <w:rPr>
          <w:rFonts w:ascii="Cambria" w:hAnsi="Cambria" w:cs="Calibri"/>
          <w:sz w:val="24"/>
          <w:lang w:val="en-GB"/>
        </w:rPr>
      </w:pPr>
      <w:proofErr w:type="gramStart"/>
      <w:r w:rsidRPr="005F281E">
        <w:rPr>
          <w:rFonts w:ascii="Cambria" w:hAnsi="Cambria" w:cs="Calibri"/>
          <w:sz w:val="24"/>
          <w:lang w:val="en-GB"/>
        </w:rPr>
        <w:t>mr</w:t>
      </w:r>
      <w:proofErr w:type="gramEnd"/>
      <w:r w:rsidRPr="005F281E">
        <w:rPr>
          <w:rFonts w:ascii="Cambria" w:hAnsi="Cambria" w:cs="Calibri"/>
          <w:sz w:val="24"/>
          <w:lang w:val="en-GB"/>
        </w:rPr>
        <w:t xml:space="preserve"> Nikoleta Tomović</w:t>
      </w:r>
    </w:p>
    <w:p w:rsidR="007715E0" w:rsidRPr="00635248" w:rsidRDefault="007715E0" w:rsidP="007715E0">
      <w:pPr>
        <w:pStyle w:val="StandardQuiz"/>
        <w:spacing w:line="276" w:lineRule="auto"/>
        <w:jc w:val="center"/>
        <w:rPr>
          <w:rFonts w:ascii="Cambria" w:hAnsi="Cambria" w:cs="Calibri"/>
          <w:sz w:val="24"/>
          <w:lang w:val="sr-Latn-ME"/>
        </w:rPr>
      </w:pPr>
    </w:p>
    <w:p w:rsidR="007715E0" w:rsidRPr="00635248" w:rsidRDefault="007715E0" w:rsidP="007715E0">
      <w:pPr>
        <w:pStyle w:val="StandardQuiz"/>
        <w:spacing w:line="276" w:lineRule="auto"/>
        <w:jc w:val="center"/>
        <w:rPr>
          <w:rFonts w:ascii="Cambria" w:hAnsi="Cambria" w:cs="Calibri"/>
          <w:b/>
          <w:sz w:val="24"/>
          <w:lang w:val="en-GB"/>
        </w:rPr>
      </w:pPr>
      <w:r w:rsidRPr="00635248">
        <w:rPr>
          <w:rFonts w:ascii="Cambria" w:hAnsi="Cambria" w:cs="Calibri"/>
          <w:b/>
          <w:sz w:val="24"/>
          <w:lang w:val="en-GB"/>
        </w:rPr>
        <w:t>Pokrovitelj:</w:t>
      </w:r>
    </w:p>
    <w:p w:rsidR="007715E0" w:rsidRPr="00635248" w:rsidRDefault="007715E0" w:rsidP="007715E0">
      <w:pPr>
        <w:pStyle w:val="StandardQuiz"/>
        <w:spacing w:line="276" w:lineRule="auto"/>
        <w:jc w:val="center"/>
        <w:rPr>
          <w:rFonts w:ascii="Cambria" w:hAnsi="Cambria" w:cs="Calibri"/>
          <w:sz w:val="24"/>
          <w:lang w:val="en-GB"/>
        </w:rPr>
      </w:pPr>
      <w:r>
        <w:rPr>
          <w:rFonts w:ascii="Cambria" w:hAnsi="Cambria" w:cs="Calibri"/>
          <w:sz w:val="24"/>
          <w:lang w:val="en-GB"/>
        </w:rPr>
        <w:t>Evropska unija</w:t>
      </w:r>
    </w:p>
    <w:p w:rsidR="007715E0" w:rsidRPr="00635248" w:rsidRDefault="007715E0" w:rsidP="007715E0">
      <w:pPr>
        <w:pStyle w:val="StandardQuiz"/>
        <w:spacing w:line="276" w:lineRule="auto"/>
        <w:jc w:val="both"/>
        <w:rPr>
          <w:rFonts w:ascii="Cambria" w:hAnsi="Cambria" w:cs="Calibri"/>
          <w:b/>
          <w:sz w:val="24"/>
          <w:lang w:val="en-GB"/>
        </w:rPr>
      </w:pPr>
    </w:p>
    <w:p w:rsidR="007715E0" w:rsidRPr="001316C8" w:rsidRDefault="007715E0" w:rsidP="007715E0">
      <w:pPr>
        <w:pStyle w:val="StandardQuiz"/>
        <w:spacing w:line="276" w:lineRule="auto"/>
        <w:jc w:val="center"/>
        <w:rPr>
          <w:rFonts w:ascii="Cambria" w:hAnsi="Cambria" w:cs="Calibri"/>
          <w:b/>
          <w:sz w:val="24"/>
          <w:lang w:val="it-IT"/>
        </w:rPr>
      </w:pPr>
      <w:r>
        <w:rPr>
          <w:rFonts w:ascii="Cambria" w:hAnsi="Cambria" w:cs="Calibri"/>
          <w:b/>
          <w:sz w:val="24"/>
          <w:lang w:val="it-IT"/>
        </w:rPr>
        <w:t>Autori</w:t>
      </w:r>
      <w:r w:rsidRPr="001316C8">
        <w:rPr>
          <w:rFonts w:ascii="Cambria" w:hAnsi="Cambria" w:cs="Calibri"/>
          <w:b/>
          <w:sz w:val="24"/>
          <w:lang w:val="it-IT"/>
        </w:rPr>
        <w:t>:</w:t>
      </w:r>
    </w:p>
    <w:p w:rsidR="007715E0" w:rsidRPr="001316C8"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 xml:space="preserve">mr </w:t>
      </w:r>
      <w:r>
        <w:rPr>
          <w:rFonts w:ascii="Cambria" w:hAnsi="Cambria" w:cs="Calibri"/>
          <w:sz w:val="24"/>
          <w:lang w:val="it-IT"/>
        </w:rPr>
        <w:t>Zlatko Vujović</w:t>
      </w:r>
    </w:p>
    <w:p w:rsidR="007715E0" w:rsidRPr="001316C8" w:rsidRDefault="007715E0" w:rsidP="007715E0">
      <w:pPr>
        <w:pStyle w:val="StandardQuiz"/>
        <w:spacing w:line="276" w:lineRule="auto"/>
        <w:jc w:val="center"/>
        <w:rPr>
          <w:rFonts w:ascii="Cambria" w:hAnsi="Cambria" w:cs="Calibri"/>
          <w:b/>
          <w:sz w:val="24"/>
          <w:lang w:val="it-IT"/>
        </w:rPr>
      </w:pPr>
    </w:p>
    <w:p w:rsidR="007715E0" w:rsidRPr="001316C8" w:rsidRDefault="007715E0" w:rsidP="007715E0">
      <w:pPr>
        <w:pStyle w:val="StandardQuiz"/>
        <w:spacing w:line="276" w:lineRule="auto"/>
        <w:jc w:val="center"/>
        <w:rPr>
          <w:rFonts w:ascii="Cambria" w:hAnsi="Cambria" w:cs="Calibri"/>
          <w:b/>
          <w:sz w:val="24"/>
          <w:lang w:val="it-IT"/>
        </w:rPr>
      </w:pPr>
      <w:r w:rsidRPr="001316C8">
        <w:rPr>
          <w:rFonts w:ascii="Cambria" w:hAnsi="Cambria" w:cs="Calibri"/>
          <w:b/>
          <w:sz w:val="24"/>
          <w:lang w:val="it-IT"/>
        </w:rPr>
        <w:t>Dizajn i produkcija:</w:t>
      </w:r>
    </w:p>
    <w:p w:rsidR="007715E0" w:rsidRPr="001316C8"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Studio Mouse, Podgorica</w:t>
      </w:r>
    </w:p>
    <w:p w:rsidR="007715E0" w:rsidRPr="001316C8" w:rsidRDefault="007715E0" w:rsidP="007715E0">
      <w:pPr>
        <w:pStyle w:val="StandardQuiz"/>
        <w:spacing w:line="276" w:lineRule="auto"/>
        <w:jc w:val="center"/>
        <w:rPr>
          <w:rFonts w:ascii="Cambria" w:hAnsi="Cambria" w:cs="Calibri"/>
          <w:b/>
          <w:sz w:val="24"/>
          <w:lang w:val="it-IT"/>
        </w:rPr>
      </w:pPr>
    </w:p>
    <w:p w:rsidR="007715E0" w:rsidRPr="001316C8" w:rsidRDefault="007715E0" w:rsidP="007715E0">
      <w:pPr>
        <w:pStyle w:val="StandardQuiz"/>
        <w:spacing w:line="276" w:lineRule="auto"/>
        <w:jc w:val="center"/>
        <w:rPr>
          <w:rFonts w:ascii="Cambria" w:hAnsi="Cambria" w:cs="Calibri"/>
          <w:b/>
          <w:sz w:val="24"/>
          <w:lang w:val="it-IT"/>
        </w:rPr>
      </w:pPr>
    </w:p>
    <w:p w:rsidR="007715E0" w:rsidRPr="001316C8" w:rsidRDefault="007715E0" w:rsidP="007715E0">
      <w:pPr>
        <w:pStyle w:val="StandardQuiz"/>
        <w:spacing w:line="276" w:lineRule="auto"/>
        <w:jc w:val="center"/>
        <w:rPr>
          <w:rFonts w:ascii="Cambria" w:hAnsi="Cambria" w:cs="Calibri"/>
          <w:b/>
          <w:sz w:val="24"/>
          <w:lang w:val="it-IT"/>
        </w:rPr>
      </w:pPr>
      <w:r w:rsidRPr="001316C8">
        <w:rPr>
          <w:rFonts w:ascii="Cambria" w:hAnsi="Cambria" w:cs="Calibri"/>
          <w:b/>
          <w:sz w:val="24"/>
          <w:lang w:val="it-IT"/>
        </w:rPr>
        <w:t>Štampa:</w:t>
      </w:r>
    </w:p>
    <w:p w:rsidR="007715E0" w:rsidRDefault="007715E0" w:rsidP="007715E0">
      <w:pPr>
        <w:pStyle w:val="StandardQuiz"/>
        <w:spacing w:line="276" w:lineRule="auto"/>
        <w:jc w:val="center"/>
        <w:rPr>
          <w:rFonts w:ascii="Cambria" w:hAnsi="Cambria" w:cs="Calibri"/>
          <w:sz w:val="24"/>
          <w:lang w:val="it-IT"/>
        </w:rPr>
      </w:pPr>
      <w:r w:rsidRPr="001316C8">
        <w:rPr>
          <w:rFonts w:ascii="Cambria" w:hAnsi="Cambria" w:cs="Calibri"/>
          <w:sz w:val="24"/>
          <w:lang w:val="it-IT"/>
        </w:rPr>
        <w:t>Studio Mouse, Podgorica</w:t>
      </w:r>
    </w:p>
    <w:p w:rsidR="007715E0" w:rsidRDefault="007715E0" w:rsidP="007715E0">
      <w:pPr>
        <w:pStyle w:val="StandardQuiz"/>
        <w:spacing w:line="276" w:lineRule="auto"/>
        <w:rPr>
          <w:rFonts w:ascii="Cambria" w:hAnsi="Cambria" w:cs="Calibri"/>
          <w:sz w:val="24"/>
          <w:lang w:val="it-IT"/>
        </w:rPr>
      </w:pPr>
    </w:p>
    <w:p w:rsidR="007715E0" w:rsidRPr="000A6DE9" w:rsidRDefault="007715E0" w:rsidP="007715E0">
      <w:pPr>
        <w:pStyle w:val="StandardQuiz"/>
        <w:spacing w:line="276" w:lineRule="auto"/>
        <w:rPr>
          <w:rFonts w:ascii="Cambria" w:hAnsi="Cambria" w:cs="Calibri"/>
          <w:sz w:val="24"/>
          <w:lang w:val="it-IT"/>
        </w:rPr>
      </w:pPr>
    </w:p>
    <w:p w:rsidR="007715E0" w:rsidRPr="001316C8" w:rsidRDefault="007715E0" w:rsidP="007715E0">
      <w:pPr>
        <w:pStyle w:val="StandardQuiz"/>
        <w:spacing w:line="276" w:lineRule="auto"/>
        <w:jc w:val="both"/>
        <w:rPr>
          <w:rFonts w:ascii="Cambria" w:hAnsi="Cambria" w:cs="Calibri"/>
          <w:sz w:val="24"/>
          <w:lang w:val="it-IT"/>
        </w:rPr>
      </w:pPr>
      <w:r>
        <w:rPr>
          <w:rFonts w:ascii="Cambria" w:hAnsi="Cambria" w:cs="Calibri"/>
          <w:noProof/>
          <w:sz w:val="24"/>
          <w:lang w:val="sr-Latn-ME" w:eastAsia="sr-Latn-ME"/>
        </w:rPr>
        <w:drawing>
          <wp:anchor distT="0" distB="0" distL="114300" distR="114300" simplePos="0" relativeHeight="251667456" behindDoc="0" locked="0" layoutInCell="1" allowOverlap="1" wp14:anchorId="6924757A" wp14:editId="36BBB19F">
            <wp:simplePos x="0" y="0"/>
            <wp:positionH relativeFrom="column">
              <wp:posOffset>4445</wp:posOffset>
            </wp:positionH>
            <wp:positionV relativeFrom="paragraph">
              <wp:posOffset>13335</wp:posOffset>
            </wp:positionV>
            <wp:extent cx="923925" cy="684530"/>
            <wp:effectExtent l="0" t="0" r="9525"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684530"/>
                    </a:xfrm>
                    <a:prstGeom prst="rect">
                      <a:avLst/>
                    </a:prstGeom>
                    <a:noFill/>
                  </pic:spPr>
                </pic:pic>
              </a:graphicData>
            </a:graphic>
            <wp14:sizeRelH relativeFrom="page">
              <wp14:pctWidth>0</wp14:pctWidth>
            </wp14:sizeRelH>
            <wp14:sizeRelV relativeFrom="page">
              <wp14:pctHeight>0</wp14:pctHeight>
            </wp14:sizeRelV>
          </wp:anchor>
        </w:drawing>
      </w:r>
      <w:r w:rsidRPr="001316C8">
        <w:rPr>
          <w:rFonts w:ascii="Cambria" w:hAnsi="Cambria" w:cs="Calibri"/>
          <w:sz w:val="24"/>
          <w:lang w:val="it-IT"/>
        </w:rPr>
        <w:t>NAPOMENA: Izvještaj je izrađen u okviru projekta “</w:t>
      </w:r>
      <w:r>
        <w:rPr>
          <w:rFonts w:ascii="Cambria" w:hAnsi="Cambria" w:cs="Calibri"/>
          <w:sz w:val="24"/>
          <w:lang w:val="it-IT"/>
        </w:rPr>
        <w:t>Monitoring reforme pravosuđa</w:t>
      </w:r>
      <w:r w:rsidRPr="001316C8">
        <w:rPr>
          <w:rFonts w:ascii="Cambria" w:hAnsi="Cambria" w:cs="Calibri"/>
          <w:sz w:val="24"/>
          <w:lang w:val="it-IT"/>
        </w:rPr>
        <w:t>”</w:t>
      </w:r>
      <w:r w:rsidRPr="007715E0">
        <w:rPr>
          <w:rFonts w:ascii="Cambria" w:hAnsi="Cambria" w:cs="Calibri"/>
          <w:noProof/>
          <w:sz w:val="24"/>
          <w:lang w:val="sr-Latn-ME" w:eastAsia="sr-Latn-ME"/>
        </w:rPr>
        <w:t xml:space="preserve"> </w:t>
      </w:r>
      <w:r w:rsidRPr="001316C8">
        <w:rPr>
          <w:rFonts w:ascii="Cambria" w:hAnsi="Cambria" w:cs="Calibri"/>
          <w:sz w:val="24"/>
          <w:lang w:val="it-IT"/>
        </w:rPr>
        <w:t xml:space="preserve"> koji je finansiran </w:t>
      </w:r>
      <w:r>
        <w:rPr>
          <w:rFonts w:ascii="Cambria" w:hAnsi="Cambria" w:cs="Calibri"/>
          <w:sz w:val="24"/>
          <w:lang w:val="it-IT"/>
        </w:rPr>
        <w:t xml:space="preserve">od strane </w:t>
      </w:r>
      <w:r w:rsidRPr="00C74FB0">
        <w:rPr>
          <w:rFonts w:ascii="Cambria" w:hAnsi="Cambria" w:cs="Calibri"/>
          <w:sz w:val="24"/>
          <w:lang w:val="it-IT"/>
        </w:rPr>
        <w:t>Evropske unije.</w:t>
      </w:r>
    </w:p>
    <w:p w:rsidR="007715E0" w:rsidRPr="00C16A04" w:rsidRDefault="007715E0" w:rsidP="00771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color w:val="000000"/>
          <w:lang w:val="it-IT"/>
        </w:rPr>
      </w:pPr>
      <w:r>
        <w:rPr>
          <w:rFonts w:ascii="Cambria" w:hAnsi="Cambria" w:cs="Courier New"/>
          <w:color w:val="000000"/>
          <w:lang w:val="it-IT"/>
        </w:rPr>
        <w:t>Sadržaj dokumenta</w:t>
      </w:r>
      <w:r w:rsidRPr="001316C8">
        <w:rPr>
          <w:rFonts w:ascii="Cambria" w:hAnsi="Cambria" w:cs="Courier New"/>
          <w:color w:val="000000"/>
          <w:lang w:val="it-IT"/>
        </w:rPr>
        <w:t xml:space="preserve"> </w:t>
      </w:r>
      <w:r>
        <w:rPr>
          <w:rFonts w:ascii="Cambria" w:hAnsi="Cambria" w:cs="Courier New"/>
          <w:color w:val="000000"/>
          <w:lang w:val="it-IT"/>
        </w:rPr>
        <w:t>je isključiva odgovornost</w:t>
      </w:r>
      <w:r w:rsidRPr="001316C8">
        <w:rPr>
          <w:rFonts w:ascii="Cambria" w:hAnsi="Cambria" w:cs="Courier New"/>
          <w:color w:val="000000"/>
          <w:lang w:val="it-IT"/>
        </w:rPr>
        <w:t xml:space="preserve"> </w:t>
      </w:r>
      <w:r>
        <w:rPr>
          <w:rFonts w:ascii="Cambria" w:hAnsi="Cambria" w:cs="Courier New"/>
          <w:color w:val="000000"/>
          <w:lang w:val="it-IT"/>
        </w:rPr>
        <w:t>Centra za monitoring i istraživanje</w:t>
      </w:r>
      <w:r w:rsidRPr="001316C8">
        <w:rPr>
          <w:rFonts w:ascii="Cambria" w:hAnsi="Cambria" w:cs="Courier New"/>
          <w:color w:val="000000"/>
          <w:lang w:val="it-IT"/>
        </w:rPr>
        <w:t xml:space="preserve"> i </w:t>
      </w:r>
      <w:r>
        <w:rPr>
          <w:rFonts w:ascii="Cambria" w:hAnsi="Cambria" w:cs="Courier New"/>
          <w:color w:val="000000"/>
          <w:lang w:val="it-IT"/>
        </w:rPr>
        <w:t>ne odražava zvanične stavove Evropske unije.</w:t>
      </w:r>
    </w:p>
    <w:p w:rsidR="007715E0" w:rsidRDefault="007715E0" w:rsidP="007715E0">
      <w:pPr>
        <w:widowControl w:val="0"/>
        <w:pBdr>
          <w:bottom w:val="single" w:sz="12" w:space="1" w:color="auto"/>
        </w:pBdr>
        <w:tabs>
          <w:tab w:val="center" w:pos="4320"/>
          <w:tab w:val="left" w:pos="6555"/>
          <w:tab w:val="right" w:pos="8640"/>
        </w:tabs>
        <w:suppressAutoHyphens/>
        <w:ind w:right="-540"/>
      </w:pPr>
      <w:r w:rsidRPr="00C16A04">
        <w:t xml:space="preserve">                     </w:t>
      </w: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rPr>
          <w:rFonts w:ascii="Cambria" w:hAnsi="Cambria" w:cs="Calibri"/>
          <w:lang w:val="sr-Latn-ME"/>
        </w:rPr>
      </w:pPr>
    </w:p>
    <w:p w:rsidR="007715E0" w:rsidRPr="00635248" w:rsidRDefault="007715E0" w:rsidP="007715E0">
      <w:pPr>
        <w:jc w:val="center"/>
        <w:rPr>
          <w:rFonts w:ascii="Cambria" w:hAnsi="Cambria" w:cs="Calibri"/>
          <w:b/>
          <w:lang w:val="sr-Latn-ME"/>
        </w:rPr>
      </w:pPr>
    </w:p>
    <w:p w:rsidR="007715E0" w:rsidRPr="004549D6" w:rsidRDefault="007715E0" w:rsidP="007715E0">
      <w:pPr>
        <w:jc w:val="center"/>
        <w:rPr>
          <w:rFonts w:cs="Calibri"/>
          <w:b/>
          <w:sz w:val="36"/>
          <w:lang w:val="sr-Latn-ME"/>
        </w:rPr>
      </w:pPr>
      <w:r w:rsidRPr="004549D6">
        <w:rPr>
          <w:rFonts w:cs="Calibri"/>
          <w:b/>
          <w:sz w:val="36"/>
          <w:lang w:val="sr-Latn-ME"/>
        </w:rPr>
        <w:t>Stručna analiza</w:t>
      </w:r>
    </w:p>
    <w:p w:rsidR="007715E0" w:rsidRPr="004549D6" w:rsidRDefault="007715E0" w:rsidP="007715E0">
      <w:pPr>
        <w:jc w:val="center"/>
        <w:rPr>
          <w:rFonts w:cs="Calibri"/>
          <w:sz w:val="36"/>
          <w:lang w:val="sr-Latn-ME"/>
        </w:rPr>
      </w:pPr>
    </w:p>
    <w:p w:rsidR="007715E0" w:rsidRPr="004549D6" w:rsidRDefault="007715E0" w:rsidP="007715E0">
      <w:pPr>
        <w:jc w:val="center"/>
        <w:rPr>
          <w:rFonts w:cs="Calibri"/>
          <w:b/>
          <w:sz w:val="36"/>
          <w:lang w:val="sr-Latn-ME"/>
        </w:rPr>
      </w:pPr>
      <w:r w:rsidRPr="004549D6">
        <w:rPr>
          <w:rFonts w:cs="Calibri"/>
          <w:b/>
          <w:sz w:val="36"/>
          <w:lang w:val="sr-Latn-ME"/>
        </w:rPr>
        <w:t>"</w:t>
      </w:r>
      <w:r w:rsidRPr="004549D6">
        <w:t xml:space="preserve"> </w:t>
      </w:r>
      <w:r w:rsidRPr="004549D6">
        <w:rPr>
          <w:rFonts w:cs="Calibri"/>
          <w:b/>
          <w:sz w:val="36"/>
          <w:lang w:val="sr-Latn-ME"/>
        </w:rPr>
        <w:t>Odbrana po službenoj dužnosti – domino efekat zaobilaženja zakonske procedure "</w:t>
      </w: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Pr="00635248" w:rsidRDefault="007715E0" w:rsidP="007715E0">
      <w:pPr>
        <w:jc w:val="center"/>
        <w:rPr>
          <w:rFonts w:ascii="Cambria" w:hAnsi="Cambria" w:cs="Calibri"/>
          <w:b/>
          <w:lang w:val="sr-Latn-ME"/>
        </w:rPr>
      </w:pPr>
    </w:p>
    <w:p w:rsidR="007715E0" w:rsidRDefault="007715E0" w:rsidP="007715E0">
      <w:pPr>
        <w:jc w:val="center"/>
        <w:rPr>
          <w:rFonts w:ascii="Cambria" w:hAnsi="Cambria" w:cs="Calibri"/>
          <w:b/>
          <w:lang w:val="sr-Latn-ME"/>
        </w:rPr>
      </w:pPr>
    </w:p>
    <w:p w:rsidR="004549D6" w:rsidRPr="00635248" w:rsidRDefault="004549D6" w:rsidP="007715E0">
      <w:pPr>
        <w:jc w:val="center"/>
        <w:rPr>
          <w:rFonts w:ascii="Cambria" w:hAnsi="Cambria" w:cs="Calibri"/>
          <w:b/>
          <w:lang w:val="sr-Latn-ME"/>
        </w:rPr>
      </w:pPr>
    </w:p>
    <w:p w:rsidR="007715E0" w:rsidRDefault="007715E0" w:rsidP="007715E0">
      <w:pPr>
        <w:rPr>
          <w:rFonts w:eastAsia="Calibri"/>
          <w:b/>
          <w:sz w:val="28"/>
          <w:szCs w:val="28"/>
          <w:lang w:val="sr-Latn-ME"/>
        </w:rPr>
      </w:pPr>
      <w:r w:rsidRPr="00F53D6E">
        <w:rPr>
          <w:rFonts w:eastAsia="Calibri"/>
          <w:b/>
          <w:sz w:val="28"/>
          <w:szCs w:val="28"/>
          <w:lang w:val="sr-Latn-ME"/>
        </w:rPr>
        <w:lastRenderedPageBreak/>
        <w:t>1. Uvod</w:t>
      </w:r>
    </w:p>
    <w:p w:rsidR="004549D6" w:rsidRPr="00F53D6E" w:rsidRDefault="004549D6" w:rsidP="007715E0">
      <w:pPr>
        <w:rPr>
          <w:rFonts w:eastAsia="Calibri"/>
          <w:b/>
          <w:sz w:val="28"/>
          <w:szCs w:val="28"/>
          <w:lang w:val="sr-Latn-ME"/>
        </w:rPr>
      </w:pPr>
    </w:p>
    <w:p w:rsidR="007715E0" w:rsidRPr="00F53D6E" w:rsidRDefault="007715E0" w:rsidP="007715E0">
      <w:pPr>
        <w:jc w:val="both"/>
        <w:rPr>
          <w:rFonts w:eastAsia="Calibri"/>
          <w:lang w:val="sr-Latn-ME"/>
        </w:rPr>
      </w:pPr>
      <w:r w:rsidRPr="00F53D6E">
        <w:rPr>
          <w:rFonts w:eastAsia="Calibri"/>
          <w:lang w:val="sr-Latn-ME"/>
        </w:rPr>
        <w:t>Akcija za ljudska prava (HRA) i Centar za monitoring i istraživanje (CeMI) od avgusta 2014. godine realizuju projekat „Monitoring reforme pravosuđa“, uz podršku Delegacije EU u Crnoj Gori kroz “IPA 2013 Civil Society Facility Montenegro” program.</w:t>
      </w:r>
      <w:r w:rsidRPr="00F53D6E">
        <w:rPr>
          <w:rFonts w:eastAsia="Calibri"/>
          <w:color w:val="666666"/>
          <w:lang w:val="sr-Latn-ME"/>
        </w:rPr>
        <w:t xml:space="preserve"> </w:t>
      </w:r>
      <w:r w:rsidRPr="00F53D6E">
        <w:rPr>
          <w:rFonts w:eastAsia="Calibri"/>
          <w:lang w:val="sr-Latn-ME"/>
        </w:rPr>
        <w:t>Cilj projekta je da omogući nevladinim organizacijama da organizovano i sistematski prate primjenu mjera iz Akcionog plana za sprovođenje Strategije za reformu pravosuđa, i Akcionih planova za poglavlja 23 i 24. U okviru Projekta, predviđeno je i tematsko istraživanje na temu “pravo na službenu odbranu“.</w:t>
      </w:r>
    </w:p>
    <w:p w:rsidR="007715E0" w:rsidRPr="00F53D6E" w:rsidRDefault="007715E0" w:rsidP="007715E0">
      <w:pPr>
        <w:jc w:val="both"/>
        <w:rPr>
          <w:rFonts w:eastAsia="Calibri"/>
          <w:lang w:val="sr-Latn-ME"/>
        </w:rPr>
      </w:pPr>
      <w:r>
        <w:rPr>
          <w:rFonts w:eastAsia="Calibri"/>
          <w:lang w:val="sr-Latn-ME"/>
        </w:rPr>
        <w:t xml:space="preserve">Ovj Izvještaj </w:t>
      </w:r>
      <w:r w:rsidRPr="00F53D6E">
        <w:rPr>
          <w:rFonts w:eastAsia="Calibri"/>
          <w:lang w:val="sr-Latn-ME"/>
        </w:rPr>
        <w:t xml:space="preserve">razmatra i analizira postojeći sistem službene odbrane u krivično-procesnom sistemu Crne Gore, sa osvrtom na najznačajnije probleme u ovom dijelu,  a u cilju stvaranja uslova za postizanje transparentnog sistema postavljanja branilaca po službenoj dužnosti, kao i poboljšanja kvaliteta odbrane koju ovi branioci pružaju tokom krivičnog postupka. </w:t>
      </w:r>
    </w:p>
    <w:p w:rsidR="007715E0" w:rsidRPr="00F53D6E" w:rsidRDefault="007715E0" w:rsidP="007715E0">
      <w:pPr>
        <w:jc w:val="both"/>
        <w:rPr>
          <w:rFonts w:eastAsia="Calibri"/>
          <w:lang w:val="sr-Latn-ME"/>
        </w:rPr>
      </w:pPr>
      <w:r w:rsidRPr="00F53D6E">
        <w:rPr>
          <w:rFonts w:eastAsia="Calibri"/>
          <w:lang w:val="sr-Latn-ME"/>
        </w:rPr>
        <w:t>Već duže vremena prisutno je opšte mišljenje da postoje zloupotrebe prilikom određivanja branilaca po službenoj dužnosti, u tom smislu da se ne poštuje redosled sa spiska Advokatske komore, već da se favorizuju određeni advokati koji su u prijateljskim, i drugim vezama sa onima koji ih postavljaju. Dakle, jedna vrsta problema proizilazi iz načina postavljanja branilaca po službenoj dužnosti, koje u krivično</w:t>
      </w:r>
      <w:r>
        <w:rPr>
          <w:rFonts w:eastAsia="Calibri"/>
          <w:lang w:val="sr-Latn-ME"/>
        </w:rPr>
        <w:t>-procesnom</w:t>
      </w:r>
      <w:r w:rsidRPr="00F53D6E">
        <w:rPr>
          <w:rFonts w:eastAsia="Calibri"/>
          <w:lang w:val="sr-Latn-ME"/>
        </w:rPr>
        <w:t xml:space="preserve"> sistemu Crne Gore postavlja rukovodilac nadležnog državnog tužilaštva ili predsjednik suda pred kojim se vodi postupak,  i to po redosledu sa spiska Advokatske komore. Nepostojanje transparentne procedure postavljanja branilaca po službenoj dužnosti, ostavlja prostor za razne zloupotrebe u praksi. Naime, dolazi do problema neravnomjerne raspodjele službenih odbrana među advokatima sa spiska, na način što neki advokati budu određivani više puta, dok s druge strane ima advokata koji nikada</w:t>
      </w:r>
      <w:r>
        <w:rPr>
          <w:rFonts w:eastAsia="Calibri"/>
          <w:lang w:val="sr-Latn-ME"/>
        </w:rPr>
        <w:t xml:space="preserve">, li vrlo rijetko </w:t>
      </w:r>
      <w:r w:rsidRPr="00F53D6E">
        <w:rPr>
          <w:rFonts w:eastAsia="Calibri"/>
          <w:lang w:val="sr-Latn-ME"/>
        </w:rPr>
        <w:t>budu pozvani na red. Nedostaju kontrolni mehanizmi kojima bi se uticalo na doslednu primjenu zakonskih pravila koja nala</w:t>
      </w:r>
      <w:r w:rsidRPr="00F53D6E">
        <w:rPr>
          <w:rFonts w:eastAsia="Calibri"/>
          <w:lang w:val="sr-Latn-RS"/>
        </w:rPr>
        <w:t>žu poštovanje redosleda sa liste Advokatske komore.</w:t>
      </w:r>
      <w:r>
        <w:rPr>
          <w:rFonts w:eastAsia="Calibri"/>
          <w:lang w:val="sr-Latn-ME"/>
        </w:rPr>
        <w:t xml:space="preserve"> Isto tako, </w:t>
      </w:r>
      <w:r w:rsidRPr="00F53D6E">
        <w:rPr>
          <w:rFonts w:eastAsia="Calibri"/>
          <w:lang w:val="sr-Latn-ME"/>
        </w:rPr>
        <w:t xml:space="preserve">kao problem se postavlja pitanje djelotvornosti, odnosno </w:t>
      </w:r>
      <w:r>
        <w:rPr>
          <w:rFonts w:eastAsia="Calibri"/>
          <w:lang w:val="sr-Latn-ME"/>
        </w:rPr>
        <w:t xml:space="preserve">kvaliteta odbrane koju </w:t>
      </w:r>
      <w:r w:rsidRPr="00F53D6E">
        <w:rPr>
          <w:rFonts w:eastAsia="Calibri"/>
          <w:lang w:val="sr-Latn-ME"/>
        </w:rPr>
        <w:t>pruža</w:t>
      </w:r>
      <w:r>
        <w:rPr>
          <w:rFonts w:eastAsia="Calibri"/>
          <w:lang w:val="sr-Latn-ME"/>
        </w:rPr>
        <w:t>ju branioci postavljeni za zastupanje</w:t>
      </w:r>
      <w:r w:rsidRPr="00F53D6E">
        <w:rPr>
          <w:rFonts w:eastAsia="Calibri"/>
          <w:lang w:val="sr-Latn-ME"/>
        </w:rPr>
        <w:t xml:space="preserve"> putem službene odbrane.</w:t>
      </w:r>
      <w:r>
        <w:rPr>
          <w:rFonts w:eastAsia="Calibri"/>
          <w:lang w:val="sr-Latn-ME"/>
        </w:rPr>
        <w:t xml:space="preserve"> </w:t>
      </w:r>
      <w:r w:rsidRPr="00F53D6E">
        <w:rPr>
          <w:rFonts w:eastAsia="Calibri"/>
          <w:lang w:val="sr-Latn-ME"/>
        </w:rPr>
        <w:t xml:space="preserve">Praksa pokazuje da ova odbrana nije u svim slučajevima pružena u skladu sa najvišim stručnim i profesionalnim standardima obavljanja advokatske dužnosti. </w:t>
      </w:r>
    </w:p>
    <w:p w:rsidR="007715E0" w:rsidRPr="00F53D6E" w:rsidRDefault="007715E0" w:rsidP="007715E0">
      <w:pPr>
        <w:jc w:val="both"/>
        <w:rPr>
          <w:rFonts w:eastAsia="Calibri"/>
          <w:lang w:val="sr-Latn-ME"/>
        </w:rPr>
      </w:pPr>
      <w:r w:rsidRPr="00F53D6E">
        <w:rPr>
          <w:rFonts w:eastAsia="Calibri"/>
          <w:lang w:val="sr-Latn-ME"/>
        </w:rPr>
        <w:t>Da svi pomenuti problemi nijesu neosnovani, dokaz</w:t>
      </w:r>
      <w:r>
        <w:rPr>
          <w:rFonts w:eastAsia="Calibri"/>
          <w:lang w:val="sr-Latn-ME"/>
        </w:rPr>
        <w:t>uju nam i rezultati istraživačkih aktivnosti  sprovedenih</w:t>
      </w:r>
      <w:r w:rsidRPr="00F53D6E">
        <w:rPr>
          <w:rFonts w:eastAsia="Calibri"/>
          <w:lang w:val="sr-Latn-ME"/>
        </w:rPr>
        <w:t xml:space="preserve"> tokom trajanja projekta, koji pokazuju da naved</w:t>
      </w:r>
      <w:r>
        <w:rPr>
          <w:rFonts w:eastAsia="Calibri"/>
          <w:lang w:val="sr-Latn-ME"/>
        </w:rPr>
        <w:t xml:space="preserve">eni problemi i te kako postoje. U </w:t>
      </w:r>
      <w:r w:rsidRPr="00F53D6E">
        <w:rPr>
          <w:rFonts w:eastAsia="Calibri"/>
          <w:lang w:val="sr-Latn-ME"/>
        </w:rPr>
        <w:t>Isto tako, mišljenje značajnog broja advokata je da se ovo pravo zloupotrebljava, tako što pojedini tužioci, žargonski rečeno, „cimnu“ advokata na telefon, pa ako se ne javi u narednih minut, dva, zovu narednog ili, češće,  nekog po svom nahođenju. Advokat koji se nije javio, najčešće iz razloga što  nije bio u mogućnosti da se javi, biva preskočen i mora da čeka da se okrene cio krug, što je cijelih godinu dana</w:t>
      </w:r>
      <w:r w:rsidRPr="00F53D6E">
        <w:rPr>
          <w:rFonts w:eastAsia="Calibri"/>
          <w:vertAlign w:val="superscript"/>
          <w:lang w:val="sr-Latn-ME"/>
        </w:rPr>
        <w:footnoteReference w:id="1"/>
      </w:r>
      <w:r w:rsidRPr="00F53D6E">
        <w:rPr>
          <w:rFonts w:eastAsia="Calibri"/>
          <w:lang w:val="sr-Latn-ME"/>
        </w:rPr>
        <w:t xml:space="preserve">. </w:t>
      </w:r>
    </w:p>
    <w:p w:rsidR="007715E0" w:rsidRPr="00F53D6E" w:rsidRDefault="007715E0" w:rsidP="007715E0">
      <w:pPr>
        <w:jc w:val="both"/>
        <w:rPr>
          <w:rFonts w:eastAsia="Calibri"/>
          <w:lang w:val="sr-Latn-ME"/>
        </w:rPr>
      </w:pPr>
      <w:r>
        <w:rPr>
          <w:rFonts w:eastAsia="Calibri"/>
          <w:lang w:val="sr-Latn-ME"/>
        </w:rPr>
        <w:t>Izvještaj se sastoji iz 6</w:t>
      </w:r>
      <w:r w:rsidRPr="00F53D6E">
        <w:rPr>
          <w:rFonts w:eastAsia="Calibri"/>
          <w:lang w:val="sr-Latn-ME"/>
        </w:rPr>
        <w:t xml:space="preserve"> djelova. U prvom dijelu – uvodu, date su opšte napomene o temi koja se istražuje; u drugom dijelu je predstavljen pravni okvir, odnosno, prikazane su osnovne zakonske odredbe kojima se uređuje postavljanje branilaca po službenoj dužnosti; treći dio daje osvrt na najznačajnije međunarodne akte koji garantuju pravo na odbranu, sa relevantnom praksom Evropskog suda za ljudska prava u Strazburu(ESLJP);  četvrti  dio – predstavlja </w:t>
      </w:r>
      <w:r>
        <w:rPr>
          <w:rFonts w:eastAsia="Calibri"/>
          <w:lang w:val="sr-Latn-ME"/>
        </w:rPr>
        <w:t xml:space="preserve">uočenu praksu, </w:t>
      </w:r>
      <w:r>
        <w:rPr>
          <w:rFonts w:eastAsia="Calibri"/>
          <w:lang w:val="sr-Latn-ME"/>
        </w:rPr>
        <w:lastRenderedPageBreak/>
        <w:t>odnosno rezultate istraživanja; peti dio daje prikaz iskustava zemalja iz regiona, i poslednji - šesti dio nudi</w:t>
      </w:r>
      <w:r w:rsidRPr="00F53D6E">
        <w:rPr>
          <w:rFonts w:eastAsia="Calibri"/>
          <w:lang w:val="sr-Latn-ME"/>
        </w:rPr>
        <w:t xml:space="preserve"> rješenja za unaprijeđenje stanja u ovoj oblasti.</w:t>
      </w:r>
    </w:p>
    <w:p w:rsidR="007715E0" w:rsidRPr="00F53D6E" w:rsidRDefault="007715E0" w:rsidP="007715E0">
      <w:pPr>
        <w:jc w:val="both"/>
        <w:rPr>
          <w:rFonts w:eastAsia="Calibri"/>
          <w:lang w:val="sr-Latn-ME"/>
        </w:rPr>
      </w:pPr>
      <w:r w:rsidRPr="00F53D6E">
        <w:rPr>
          <w:rFonts w:eastAsia="Calibri"/>
          <w:lang w:val="sr-Latn-ME"/>
        </w:rPr>
        <w:t>Kada je riječ o metodologiji prikupljanja podataka, cilj istraživanja bio je usmjeren na dvije stvari: 1.</w:t>
      </w:r>
      <w:r>
        <w:rPr>
          <w:rFonts w:eastAsia="Calibri"/>
          <w:lang w:val="sr-Latn-ME"/>
        </w:rPr>
        <w:t xml:space="preserve"> </w:t>
      </w:r>
      <w:r w:rsidRPr="00F53D6E">
        <w:rPr>
          <w:rFonts w:eastAsia="Calibri"/>
          <w:lang w:val="sr-Latn-ME"/>
        </w:rPr>
        <w:t>način</w:t>
      </w:r>
      <w:r>
        <w:rPr>
          <w:rFonts w:eastAsia="Calibri"/>
          <w:lang w:val="sr-Latn-ME"/>
        </w:rPr>
        <w:t xml:space="preserve"> - procedura</w:t>
      </w:r>
      <w:r w:rsidRPr="00F53D6E">
        <w:rPr>
          <w:rFonts w:eastAsia="Calibri"/>
          <w:lang w:val="sr-Latn-ME"/>
        </w:rPr>
        <w:t xml:space="preserve"> postavljanja branilaca </w:t>
      </w:r>
      <w:r>
        <w:rPr>
          <w:rFonts w:eastAsia="Calibri"/>
          <w:lang w:val="sr-Latn-ME"/>
        </w:rPr>
        <w:t xml:space="preserve">po službenoj dužnosti </w:t>
      </w:r>
      <w:r w:rsidRPr="00F53D6E">
        <w:rPr>
          <w:rFonts w:eastAsia="Calibri"/>
          <w:lang w:val="sr-Latn-ME"/>
        </w:rPr>
        <w:t xml:space="preserve"> i  2.</w:t>
      </w:r>
      <w:r>
        <w:rPr>
          <w:rFonts w:eastAsia="Calibri"/>
          <w:lang w:val="sr-Latn-ME"/>
        </w:rPr>
        <w:t xml:space="preserve"> </w:t>
      </w:r>
      <w:r w:rsidRPr="00F53D6E">
        <w:rPr>
          <w:rFonts w:eastAsia="Calibri"/>
          <w:lang w:val="sr-Latn-ME"/>
        </w:rPr>
        <w:t>kvalitet odbrane pružene po sl</w:t>
      </w:r>
      <w:r>
        <w:rPr>
          <w:rFonts w:eastAsia="Calibri"/>
          <w:lang w:val="sr-Latn-ME"/>
        </w:rPr>
        <w:t>užbenoj dužnosti. U skladu sa ti</w:t>
      </w:r>
      <w:r w:rsidRPr="00F53D6E">
        <w:rPr>
          <w:rFonts w:eastAsia="Calibri"/>
          <w:lang w:val="sr-Latn-ME"/>
        </w:rPr>
        <w:t xml:space="preserve">m, upućen je zahtjev za slobodan pristup informacijama svim organima koji postavljaju branioce po službenoj dužnosti, svim predsjednicima osnovnih sudova </w:t>
      </w:r>
      <w:r>
        <w:rPr>
          <w:rFonts w:eastAsia="Calibri"/>
          <w:lang w:val="sr-Latn-ME"/>
        </w:rPr>
        <w:t xml:space="preserve">i viših sudova </w:t>
      </w:r>
      <w:r w:rsidRPr="00F53D6E">
        <w:rPr>
          <w:rFonts w:eastAsia="Calibri"/>
          <w:lang w:val="sr-Latn-ME"/>
        </w:rPr>
        <w:t>u Crnoj Gori, kao i rukovodiocima svih državnih tužilaštava. Od navedenih subjekata zahtijevano je da dostave informaciju o svim rješenjima o postavljenju branilaca po službenoj dužnosti, kao i o ukupnom iznosu troškova dodijeljenih svakom pojedinačnom advokatu, i to za period od 1.2015.godine do 1.1.2016. godine. Za potrebe istraživanja pripremljen</w:t>
      </w:r>
      <w:r>
        <w:rPr>
          <w:rFonts w:eastAsia="Calibri"/>
          <w:lang w:val="sr-Latn-ME"/>
        </w:rPr>
        <w:t xml:space="preserve">i su </w:t>
      </w:r>
      <w:r w:rsidRPr="00F53D6E">
        <w:rPr>
          <w:rFonts w:eastAsia="Calibri"/>
          <w:lang w:val="sr-Latn-ME"/>
        </w:rPr>
        <w:t xml:space="preserve"> i pisani  upitni</w:t>
      </w:r>
      <w:r>
        <w:rPr>
          <w:rFonts w:eastAsia="Calibri"/>
          <w:lang w:val="sr-Latn-ME"/>
        </w:rPr>
        <w:t>ci, koji su</w:t>
      </w:r>
      <w:r w:rsidRPr="00F53D6E">
        <w:rPr>
          <w:rFonts w:eastAsia="Calibri"/>
          <w:lang w:val="sr-Latn-ME"/>
        </w:rPr>
        <w:t xml:space="preserve"> distribuiran svim </w:t>
      </w:r>
      <w:r>
        <w:rPr>
          <w:rFonts w:eastAsia="Calibri"/>
          <w:lang w:val="sr-Latn-ME"/>
        </w:rPr>
        <w:t xml:space="preserve">sudijama krivičarima u Crnoj Gori, kao i svim </w:t>
      </w:r>
      <w:r w:rsidRPr="00F53D6E">
        <w:rPr>
          <w:rFonts w:eastAsia="Calibri"/>
          <w:lang w:val="sr-Latn-ME"/>
        </w:rPr>
        <w:t xml:space="preserve">advokatima </w:t>
      </w:r>
      <w:r>
        <w:rPr>
          <w:rFonts w:eastAsia="Calibri"/>
          <w:lang w:val="sr-Latn-ME"/>
        </w:rPr>
        <w:t>registrovanim na spisku Advokatske komore,</w:t>
      </w:r>
      <w:r w:rsidRPr="00F53D6E">
        <w:rPr>
          <w:rFonts w:eastAsia="Calibri"/>
          <w:lang w:val="sr-Latn-ME"/>
        </w:rPr>
        <w:t xml:space="preserve"> sa ciljem sveobuhvatnog sagledavanja ovog probl</w:t>
      </w:r>
      <w:r>
        <w:rPr>
          <w:rFonts w:eastAsia="Calibri"/>
          <w:lang w:val="sr-Latn-ME"/>
        </w:rPr>
        <w:t>ema, kako bi se čulo  mišljenje</w:t>
      </w:r>
      <w:r w:rsidRPr="00F53D6E">
        <w:rPr>
          <w:rFonts w:eastAsia="Calibri"/>
          <w:lang w:val="sr-Latn-ME"/>
        </w:rPr>
        <w:t xml:space="preserve"> i komentari nosilaca </w:t>
      </w:r>
      <w:r>
        <w:rPr>
          <w:rFonts w:eastAsia="Calibri"/>
          <w:lang w:val="sr-Latn-ME"/>
        </w:rPr>
        <w:t xml:space="preserve">sudijske i </w:t>
      </w:r>
      <w:r w:rsidRPr="00F53D6E">
        <w:rPr>
          <w:rFonts w:eastAsia="Calibri"/>
          <w:lang w:val="sr-Latn-ME"/>
        </w:rPr>
        <w:t>advokatske profesije. Ovim putem izražavamo zahvalnost advokatima</w:t>
      </w:r>
      <w:r>
        <w:rPr>
          <w:rFonts w:eastAsia="Calibri"/>
          <w:lang w:val="sr-Latn-ME"/>
        </w:rPr>
        <w:t xml:space="preserve"> i sudijama</w:t>
      </w:r>
      <w:r w:rsidRPr="00F53D6E">
        <w:rPr>
          <w:rFonts w:eastAsia="Calibri"/>
          <w:lang w:val="sr-Latn-ME"/>
        </w:rPr>
        <w:t xml:space="preserve"> koji su uložili napore i odgovorili na upitnike, i tako doprinijeli uspjehu ovog istraživanja. U cilju obrade dostavljenih podataka, primijenjeni su različiti metodi kvantitativnog i kvalitativnog karaktera.</w:t>
      </w:r>
    </w:p>
    <w:p w:rsidR="007715E0" w:rsidRPr="00F53D6E" w:rsidRDefault="007715E0" w:rsidP="007715E0">
      <w:pPr>
        <w:jc w:val="both"/>
        <w:rPr>
          <w:rFonts w:eastAsia="Calibri"/>
          <w:lang w:val="sr-Latn-ME"/>
        </w:rPr>
      </w:pPr>
      <w:r w:rsidRPr="00F53D6E">
        <w:rPr>
          <w:rFonts w:eastAsia="Calibri"/>
          <w:lang w:val="sr-Latn-ME"/>
        </w:rPr>
        <w:t>Takođe, pregledana su i razna dokumenta, kao što su izvještaji domaćih i međunarodnih organizacija, međunarodne konvencije i standardi, koji su bili neophodni da se istraži tema ovog Izvještaja i da se što bolje sagleda i shvati način funkcionisanja sistema službenih odbrana</w:t>
      </w:r>
      <w:r>
        <w:rPr>
          <w:rFonts w:eastAsia="Calibri"/>
          <w:lang w:val="sr-Latn-ME"/>
        </w:rPr>
        <w:t xml:space="preserve"> u Crnoj Gori</w:t>
      </w:r>
      <w:r w:rsidRPr="00F53D6E">
        <w:rPr>
          <w:rFonts w:eastAsia="Calibri"/>
          <w:lang w:val="sr-Latn-ME"/>
        </w:rPr>
        <w:t xml:space="preserve">.  </w:t>
      </w:r>
    </w:p>
    <w:p w:rsidR="007715E0" w:rsidRDefault="007715E0" w:rsidP="007715E0">
      <w:pPr>
        <w:jc w:val="both"/>
        <w:rPr>
          <w:rFonts w:eastAsia="Calibri"/>
          <w:lang w:val="sr-Latn-ME"/>
        </w:rPr>
      </w:pPr>
      <w:r w:rsidRPr="00F53D6E">
        <w:rPr>
          <w:rFonts w:eastAsia="Calibri"/>
          <w:lang w:val="sr-Latn-ME"/>
        </w:rPr>
        <w:t>Zbog zaštite prava na privatnost, u Izvještaju se neće pominjati imena i prezimena advokata,</w:t>
      </w:r>
      <w:r>
        <w:rPr>
          <w:rFonts w:eastAsia="Calibri"/>
          <w:lang w:val="sr-Latn-ME"/>
        </w:rPr>
        <w:t xml:space="preserve"> </w:t>
      </w:r>
      <w:r w:rsidRPr="00F53D6E">
        <w:rPr>
          <w:rFonts w:eastAsia="Calibri"/>
          <w:lang w:val="sr-Latn-ME"/>
        </w:rPr>
        <w:t xml:space="preserve"> već će se lični podaci anonimizirati uz navođenje njihovih inicijala.</w:t>
      </w:r>
    </w:p>
    <w:p w:rsidR="007715E0" w:rsidRPr="00F53D6E" w:rsidRDefault="007715E0" w:rsidP="007715E0">
      <w:pPr>
        <w:jc w:val="both"/>
        <w:rPr>
          <w:rFonts w:eastAsia="Calibri"/>
          <w:lang w:val="sr-Latn-ME"/>
        </w:rPr>
      </w:pPr>
      <w:r>
        <w:rPr>
          <w:rFonts w:eastAsia="Calibri"/>
          <w:lang w:val="sr-Latn-ME"/>
        </w:rPr>
        <w:t>Autor Izvještaja je mr Zlatko Vujović.</w:t>
      </w:r>
    </w:p>
    <w:p w:rsidR="007715E0" w:rsidRPr="00512545" w:rsidRDefault="007715E0" w:rsidP="007715E0">
      <w:pPr>
        <w:jc w:val="both"/>
        <w:rPr>
          <w:rFonts w:eastAsia="Calibri"/>
          <w:lang w:val="sr-Latn-ME"/>
        </w:rPr>
      </w:pPr>
    </w:p>
    <w:p w:rsidR="007715E0" w:rsidRPr="00512545" w:rsidRDefault="007715E0" w:rsidP="007715E0">
      <w:pPr>
        <w:jc w:val="both"/>
        <w:rPr>
          <w:rFonts w:eastAsia="Calibri"/>
          <w:b/>
          <w:lang w:val="sr-Latn-ME"/>
        </w:rPr>
      </w:pPr>
    </w:p>
    <w:p w:rsidR="007715E0" w:rsidRPr="00512545" w:rsidRDefault="007715E0" w:rsidP="007715E0">
      <w:pPr>
        <w:jc w:val="both"/>
        <w:rPr>
          <w:rFonts w:eastAsia="Calibri"/>
          <w:b/>
          <w:lang w:val="sr-Latn-ME"/>
        </w:rPr>
      </w:pPr>
    </w:p>
    <w:p w:rsidR="007715E0" w:rsidRPr="00512545" w:rsidRDefault="007715E0" w:rsidP="007715E0">
      <w:pPr>
        <w:jc w:val="both"/>
        <w:rPr>
          <w:rFonts w:eastAsia="Calibri"/>
          <w:b/>
          <w:lang w:val="sr-Latn-ME"/>
        </w:rPr>
      </w:pPr>
    </w:p>
    <w:p w:rsidR="007715E0" w:rsidRPr="00512545" w:rsidRDefault="007715E0" w:rsidP="007715E0">
      <w:pPr>
        <w:jc w:val="both"/>
        <w:rPr>
          <w:rFonts w:eastAsia="Calibri"/>
          <w:b/>
          <w:lang w:val="sr-Latn-ME"/>
        </w:rPr>
      </w:pPr>
    </w:p>
    <w:p w:rsidR="007715E0" w:rsidRPr="00512545" w:rsidRDefault="007715E0" w:rsidP="007715E0">
      <w:pPr>
        <w:jc w:val="both"/>
        <w:rPr>
          <w:rFonts w:eastAsia="Calibri"/>
          <w:b/>
          <w:lang w:val="sr-Latn-ME"/>
        </w:rPr>
      </w:pPr>
    </w:p>
    <w:p w:rsidR="007715E0" w:rsidRDefault="007715E0" w:rsidP="007715E0">
      <w:pPr>
        <w:jc w:val="both"/>
        <w:rPr>
          <w:rFonts w:eastAsia="Calibri"/>
          <w:b/>
          <w:lang w:val="sr-Latn-ME"/>
        </w:rPr>
      </w:pPr>
    </w:p>
    <w:p w:rsidR="004549D6" w:rsidRDefault="004549D6" w:rsidP="007715E0">
      <w:pPr>
        <w:jc w:val="both"/>
        <w:rPr>
          <w:rFonts w:eastAsia="Calibri"/>
          <w:b/>
          <w:lang w:val="sr-Latn-ME"/>
        </w:rPr>
      </w:pPr>
    </w:p>
    <w:p w:rsidR="004549D6" w:rsidRDefault="004549D6" w:rsidP="007715E0">
      <w:pPr>
        <w:jc w:val="both"/>
        <w:rPr>
          <w:rFonts w:eastAsia="Calibri"/>
          <w:b/>
          <w:lang w:val="sr-Latn-ME"/>
        </w:rPr>
      </w:pPr>
    </w:p>
    <w:p w:rsidR="007715E0" w:rsidRDefault="007715E0" w:rsidP="007715E0">
      <w:pPr>
        <w:jc w:val="both"/>
        <w:rPr>
          <w:rFonts w:eastAsia="Calibri"/>
          <w:b/>
          <w:lang w:val="sr-Latn-ME"/>
        </w:rPr>
      </w:pPr>
    </w:p>
    <w:p w:rsidR="004549D6" w:rsidRPr="00512545" w:rsidRDefault="004549D6" w:rsidP="007715E0">
      <w:pPr>
        <w:jc w:val="both"/>
        <w:rPr>
          <w:rFonts w:eastAsia="Calibri"/>
          <w:b/>
          <w:lang w:val="sr-Latn-ME"/>
        </w:rPr>
      </w:pPr>
    </w:p>
    <w:p w:rsidR="007715E0" w:rsidRPr="00512545" w:rsidRDefault="007715E0" w:rsidP="007715E0">
      <w:pPr>
        <w:jc w:val="both"/>
        <w:rPr>
          <w:rFonts w:eastAsia="Calibri"/>
          <w:b/>
          <w:lang w:val="sr-Latn-ME"/>
        </w:rPr>
      </w:pPr>
    </w:p>
    <w:p w:rsidR="007715E0" w:rsidRPr="00512545" w:rsidRDefault="007715E0" w:rsidP="007715E0">
      <w:pPr>
        <w:jc w:val="both"/>
        <w:rPr>
          <w:rFonts w:eastAsia="Calibri"/>
          <w:b/>
          <w:lang w:val="sr-Latn-ME"/>
        </w:rPr>
      </w:pPr>
      <w:r w:rsidRPr="00512545">
        <w:rPr>
          <w:rFonts w:eastAsia="Calibri"/>
          <w:b/>
          <w:lang w:val="sr-Latn-ME"/>
        </w:rPr>
        <w:lastRenderedPageBreak/>
        <w:t xml:space="preserve">2. Pravo na odbranu </w:t>
      </w:r>
    </w:p>
    <w:p w:rsidR="007715E0" w:rsidRPr="00512545" w:rsidRDefault="007715E0" w:rsidP="007715E0">
      <w:pPr>
        <w:jc w:val="both"/>
        <w:rPr>
          <w:rFonts w:eastAsia="Calibri"/>
          <w:b/>
          <w:lang w:val="sr-Latn-ME"/>
        </w:rPr>
      </w:pPr>
      <w:r w:rsidRPr="00512545">
        <w:rPr>
          <w:rFonts w:eastAsia="Calibri"/>
          <w:b/>
          <w:lang w:val="sr-Latn-ME"/>
        </w:rPr>
        <w:t>2.1. Nacionalno zakonodavstvo</w:t>
      </w:r>
    </w:p>
    <w:p w:rsidR="007715E0" w:rsidRPr="00512545" w:rsidRDefault="007715E0" w:rsidP="007715E0">
      <w:pPr>
        <w:jc w:val="both"/>
      </w:pPr>
      <w:r w:rsidRPr="00512545">
        <w:t>Pravo na odbranu ustavnog je karaktera, pa tako</w:t>
      </w:r>
      <w:r w:rsidRPr="00512545">
        <w:rPr>
          <w:b/>
        </w:rPr>
        <w:t xml:space="preserve"> Ustav Crne Gore</w:t>
      </w:r>
      <w:r w:rsidRPr="00512545">
        <w:t xml:space="preserve"> ovo pravo garantuje članom 37,  na način da se svakome jamči pravo na odbranu, a posebno da na jeziku koji razumije bude upoznat sa optužbom protiv sebe; da ima dovoljno vremena za pripremanje odbrane i da se brani lično ili putem branioca kojega sam izabere.</w:t>
      </w:r>
    </w:p>
    <w:p w:rsidR="007715E0" w:rsidRPr="00512545" w:rsidRDefault="007715E0" w:rsidP="007715E0">
      <w:pPr>
        <w:jc w:val="both"/>
        <w:rPr>
          <w:rFonts w:eastAsia="Calibri"/>
          <w:b/>
          <w:lang w:val="sr-Latn-ME"/>
        </w:rPr>
      </w:pPr>
      <w:r w:rsidRPr="00512545">
        <w:rPr>
          <w:b/>
        </w:rPr>
        <w:t>Zakonik o krivičnom postupku</w:t>
      </w:r>
      <w:r w:rsidRPr="00512545">
        <w:rPr>
          <w:rFonts w:eastAsia="Calibri"/>
          <w:vertAlign w:val="superscript"/>
          <w:lang w:val="sr-Latn-ME"/>
        </w:rPr>
        <w:footnoteReference w:id="2"/>
      </w:r>
      <w:r>
        <w:rPr>
          <w:b/>
        </w:rPr>
        <w:t xml:space="preserve"> </w:t>
      </w:r>
      <w:r w:rsidRPr="00512545">
        <w:t>(u daljem tekstu</w:t>
      </w:r>
      <w:proofErr w:type="gramStart"/>
      <w:r w:rsidRPr="00512545">
        <w:t>:ZKP</w:t>
      </w:r>
      <w:proofErr w:type="gramEnd"/>
      <w:r w:rsidRPr="00512545">
        <w:rPr>
          <w:rFonts w:eastAsia="Calibri"/>
          <w:lang w:val="sr-Latn-ME"/>
        </w:rPr>
        <w:t>)</w:t>
      </w:r>
      <w:r w:rsidRPr="00512545">
        <w:t xml:space="preserve"> pravo na odbranu propisuje članom 13, </w:t>
      </w:r>
      <w:r>
        <w:t>koji garantuje okrivljenom</w:t>
      </w:r>
      <w:r w:rsidRPr="00512545">
        <w:t xml:space="preserve"> pravo da se brani sam ili uz stručnu pomoć branioca koga sam izabere iz reda advokata; da okrivljeni ima pravo da njegovom saslušanju prisustvuje branilac; da sud u određenim slučajevima postavlja okrivljenom branioca, ako ga ovaj ne uzme; da se okrivljenom mora osigurati dovoljno vremena i mogućnosti za pripremanje odbrane.</w:t>
      </w:r>
    </w:p>
    <w:p w:rsidR="007715E0" w:rsidRPr="00512545" w:rsidRDefault="007715E0" w:rsidP="007715E0">
      <w:pPr>
        <w:jc w:val="both"/>
        <w:rPr>
          <w:rFonts w:eastAsia="Calibri"/>
          <w:lang w:val="sr-Latn-ME"/>
        </w:rPr>
      </w:pPr>
      <w:r w:rsidRPr="00512545">
        <w:rPr>
          <w:rFonts w:eastAsia="Calibri"/>
          <w:b/>
          <w:lang w:val="sr-Latn-ME"/>
        </w:rPr>
        <w:t xml:space="preserve">Kada je riječ o postavljanju branilaca po službenoj dužnosti, </w:t>
      </w:r>
      <w:r w:rsidRPr="00512545">
        <w:rPr>
          <w:rFonts w:eastAsia="Calibri"/>
          <w:lang w:val="sr-Latn-ME"/>
        </w:rPr>
        <w:t xml:space="preserve">najvažniji zakon kojim je uređen način postavljanja branilaca po službenoj dužnosti, kao i njihova prava i obaveze jeste ZKP. </w:t>
      </w:r>
    </w:p>
    <w:p w:rsidR="007715E0" w:rsidRPr="00512545" w:rsidRDefault="007715E0" w:rsidP="007715E0">
      <w:pPr>
        <w:jc w:val="both"/>
        <w:rPr>
          <w:rFonts w:eastAsia="Calibri"/>
          <w:lang w:val="sr-Latn-ME"/>
        </w:rPr>
      </w:pPr>
      <w:r w:rsidRPr="00512545">
        <w:rPr>
          <w:rFonts w:eastAsia="Calibri"/>
          <w:lang w:val="sr-Latn-ME"/>
        </w:rPr>
        <w:t>U skladu sa odredbama člana 69 ZKP-a definisani su slučajevi obavezne odbrane, odnosno situacije u kojima okrivljeni mora imati branioca, a koje su:</w:t>
      </w:r>
    </w:p>
    <w:p w:rsidR="007715E0" w:rsidRPr="00512545" w:rsidRDefault="007715E0" w:rsidP="007715E0">
      <w:pPr>
        <w:ind w:right="525"/>
        <w:jc w:val="both"/>
        <w:rPr>
          <w:lang w:val="sr-Latn-ME" w:eastAsia="sr-Latn-ME"/>
        </w:rPr>
      </w:pPr>
      <w:r w:rsidRPr="00512545">
        <w:rPr>
          <w:lang w:val="sr-Latn-ME" w:eastAsia="sr-Latn-ME"/>
        </w:rPr>
        <w:t>(1) Ako je okrivljeni lice sa invaliditetom usljed čega je pravo lica sa invaliditetom da se uspješno brani otežano ili ako se postupak vodi zbog krivičnog djela za koje se može izreći najduža kazna zatvora, okrivljeni mora imati branioca tokom cijelog postupka, počev od prvog saslušanja.</w:t>
      </w:r>
    </w:p>
    <w:p w:rsidR="007715E0" w:rsidRPr="00512545" w:rsidRDefault="007715E0" w:rsidP="007715E0">
      <w:pPr>
        <w:ind w:right="525"/>
        <w:jc w:val="both"/>
        <w:rPr>
          <w:lang w:val="sr-Latn-ME" w:eastAsia="sr-Latn-ME"/>
        </w:rPr>
      </w:pPr>
      <w:r w:rsidRPr="00512545">
        <w:rPr>
          <w:lang w:val="sr-Latn-ME" w:eastAsia="sr-Latn-ME"/>
        </w:rPr>
        <w:t>(2) Poslije podignute optužnice zbog krivičnog djela za koje se po zakonu može izreći kazna zatvora u trajanju od deset godina, okrivljeni mora imati branioca u vrijeme dostavljanja optužnice.</w:t>
      </w:r>
    </w:p>
    <w:p w:rsidR="007715E0" w:rsidRPr="00512545" w:rsidRDefault="007715E0" w:rsidP="007715E0">
      <w:pPr>
        <w:ind w:right="525"/>
        <w:jc w:val="both"/>
        <w:rPr>
          <w:lang w:val="sr-Latn-ME" w:eastAsia="sr-Latn-ME"/>
        </w:rPr>
      </w:pPr>
      <w:r w:rsidRPr="00512545">
        <w:rPr>
          <w:lang w:val="sr-Latn-ME" w:eastAsia="sr-Latn-ME"/>
        </w:rPr>
        <w:t>(3) Okrivljeni kome je određen pritvor mora imati branioca dok je u pritvoru.</w:t>
      </w:r>
    </w:p>
    <w:p w:rsidR="007715E0" w:rsidRPr="00512545" w:rsidRDefault="007715E0" w:rsidP="007715E0">
      <w:pPr>
        <w:ind w:right="525"/>
        <w:jc w:val="both"/>
        <w:rPr>
          <w:lang w:val="sr-Latn-ME" w:eastAsia="sr-Latn-ME"/>
        </w:rPr>
      </w:pPr>
      <w:r w:rsidRPr="00512545">
        <w:rPr>
          <w:lang w:val="sr-Latn-ME" w:eastAsia="sr-Latn-ME"/>
        </w:rPr>
        <w:t>(4) Okrivljeni kome se sudi u odsustvu, u smislu člana 324 stav 2 ovog zakonika, mora imati branioca čim sud donese rješenje o suđenju u odsustvu.</w:t>
      </w:r>
    </w:p>
    <w:p w:rsidR="007715E0" w:rsidRPr="00512545" w:rsidRDefault="007715E0" w:rsidP="007715E0">
      <w:pPr>
        <w:ind w:right="525"/>
        <w:jc w:val="both"/>
        <w:rPr>
          <w:lang w:val="sr-Latn-ME" w:eastAsia="sr-Latn-ME"/>
        </w:rPr>
      </w:pPr>
      <w:r w:rsidRPr="00512545">
        <w:rPr>
          <w:lang w:val="sr-Latn-ME" w:eastAsia="sr-Latn-ME"/>
        </w:rPr>
        <w:t>(5) Osumnjičeni koga policija, odnosno službenici organa državne uprave nadležnog za poslove carina u izviđaju saslušavaju, u skladu sa članom 261 stav 5 ovog zakonika, mora imati branioca.</w:t>
      </w:r>
    </w:p>
    <w:p w:rsidR="007715E0" w:rsidRPr="00512545" w:rsidRDefault="007715E0" w:rsidP="007715E0">
      <w:pPr>
        <w:ind w:right="525"/>
        <w:jc w:val="both"/>
        <w:rPr>
          <w:lang w:val="sr-Latn-ME" w:eastAsia="sr-Latn-ME"/>
        </w:rPr>
      </w:pPr>
      <w:r w:rsidRPr="00512545">
        <w:rPr>
          <w:lang w:val="sr-Latn-ME" w:eastAsia="sr-Latn-ME"/>
        </w:rPr>
        <w:t>(6) Osumnjičeni mora imati branioca kad državni tužilac donese rješenje o zadržavanju iz člana 267 ovog zakonika.</w:t>
      </w:r>
    </w:p>
    <w:p w:rsidR="007715E0" w:rsidRPr="00512545" w:rsidRDefault="007715E0" w:rsidP="007715E0">
      <w:pPr>
        <w:ind w:right="525"/>
        <w:jc w:val="both"/>
        <w:rPr>
          <w:lang w:val="sr-Latn-ME" w:eastAsia="sr-Latn-ME"/>
        </w:rPr>
      </w:pPr>
      <w:r w:rsidRPr="00512545">
        <w:rPr>
          <w:lang w:val="sr-Latn-ME" w:eastAsia="sr-Latn-ME"/>
        </w:rPr>
        <w:t>(7) Okrivljeni mora imati branioca od početka pregovaranja o uslovima priznanja krivice iz člana 300 stav 2 ovog zakonika, do donošenja odluke suda o žalbi na presudu.</w:t>
      </w:r>
    </w:p>
    <w:p w:rsidR="007715E0" w:rsidRPr="00512545" w:rsidRDefault="007715E0" w:rsidP="007715E0">
      <w:pPr>
        <w:ind w:right="525"/>
        <w:jc w:val="both"/>
        <w:rPr>
          <w:lang w:val="sr-Latn-ME" w:eastAsia="sr-Latn-ME"/>
        </w:rPr>
      </w:pPr>
      <w:r w:rsidRPr="00512545">
        <w:rPr>
          <w:lang w:val="sr-Latn-ME" w:eastAsia="sr-Latn-ME"/>
        </w:rPr>
        <w:t xml:space="preserve">(8) Ako okrivljeni u slučajevima obavezne odbrane ne uzme branioca, o postavljenju branioca po službenoj dužnosti do podizanja optužnice odlučuje rukovodilac nadležnog državnog tužilaštva, a nakon podignute optužnice do pravosnažnosti presude i u slučaju kad je izrečena najduža kazna zatvora u postupku po vanrednim pravnim lijekovima predsjednik suda. Kad se </w:t>
      </w:r>
      <w:r w:rsidRPr="00512545">
        <w:rPr>
          <w:lang w:val="sr-Latn-ME" w:eastAsia="sr-Latn-ME"/>
        </w:rPr>
        <w:lastRenderedPageBreak/>
        <w:t>okrivljenom po službenoj dužnosti postavi branilac poslije podignute optužnice, o tome će se okrivljeni obavijestiti istovremeno sa dostavljanjem optužnice. Ako okrivljeni u slučaju obavezne odbrane u toku postupka ostane bez branioca, a sam ne uzme drugog branioca, predsjednik suda pred kojim se vodi postupak postaviće mu branioca po službenoj dužnosti. Branilac postavljen po službenoj dužnosti ostaje u postupku dok postoje uslovi za obaveznu odbranu, odnosno dok okrivljeni sam ne izabere branioca.</w:t>
      </w:r>
    </w:p>
    <w:p w:rsidR="007715E0" w:rsidRPr="00512545" w:rsidRDefault="007715E0" w:rsidP="007715E0">
      <w:pPr>
        <w:ind w:right="525"/>
        <w:jc w:val="both"/>
        <w:rPr>
          <w:b/>
          <w:lang w:val="sr-Latn-ME" w:eastAsia="sr-Latn-ME"/>
        </w:rPr>
      </w:pPr>
      <w:r w:rsidRPr="00512545">
        <w:rPr>
          <w:b/>
          <w:lang w:val="sr-Latn-ME" w:eastAsia="sr-Latn-ME"/>
        </w:rPr>
        <w:t>(9)</w:t>
      </w:r>
      <w:r w:rsidRPr="00512545">
        <w:rPr>
          <w:lang w:val="sr-Latn-ME" w:eastAsia="sr-Latn-ME"/>
        </w:rPr>
        <w:t xml:space="preserve"> </w:t>
      </w:r>
      <w:r w:rsidRPr="00512545">
        <w:rPr>
          <w:b/>
          <w:lang w:val="sr-Latn-ME" w:eastAsia="sr-Latn-ME"/>
        </w:rPr>
        <w:t>Okrivljenom će se postaviti branilac po redosljedu sa spiska Advokatske komore Crne Gore (u daljem tekstu: Advokatska komora).</w:t>
      </w:r>
    </w:p>
    <w:p w:rsidR="007715E0" w:rsidRPr="00512545" w:rsidRDefault="007715E0" w:rsidP="007715E0">
      <w:pPr>
        <w:ind w:right="525"/>
        <w:jc w:val="both"/>
        <w:rPr>
          <w:b/>
          <w:lang w:val="sr-Latn-ME" w:eastAsia="sr-Latn-ME"/>
        </w:rPr>
      </w:pPr>
    </w:p>
    <w:p w:rsidR="007715E0" w:rsidRPr="00512545" w:rsidRDefault="007715E0" w:rsidP="007715E0">
      <w:pPr>
        <w:jc w:val="both"/>
        <w:rPr>
          <w:rFonts w:eastAsia="Calibri"/>
          <w:lang w:val="sr-Latn-ME"/>
        </w:rPr>
      </w:pPr>
      <w:r w:rsidRPr="00512545">
        <w:rPr>
          <w:rFonts w:eastAsia="Calibri"/>
          <w:lang w:val="sr-Latn-ME"/>
        </w:rPr>
        <w:t>Dakle, kao što je to regulisano ZKP-om, način postavljanja branioca po službenoj dužnosti zavisi od toga o kojem procesnom stadijumu, odnosno fazi  krivičnog postupka je riječ. Tako, do podizanja optužnice, branioca po službenoj dužnosti postavlja rukovodilac nadležnog državnog tužilaštva, a nakon podizanja optužnice o tome rješenje donosi predsjednik postupajućeg suda u konkretnom predmetu. Odlučujući i jedini kriterijum prilikom postavljanja jeste redosled advokata sa spiska Advokatske komore . Ovakvo rješenje ostavlja mogućnost da svi advokati sa liste po redosledu budu pružaoci odbrane kada je ona obavezna. Branilac u slučajevima kada je odbrana obavezna može biti bilo ko se nalazi na listi, jer zakon ne propisuje</w:t>
      </w:r>
      <w:r>
        <w:rPr>
          <w:rFonts w:eastAsia="Calibri"/>
          <w:lang w:val="sr-Latn-ME"/>
        </w:rPr>
        <w:t xml:space="preserve"> </w:t>
      </w:r>
      <w:r w:rsidRPr="00512545">
        <w:rPr>
          <w:rFonts w:eastAsia="Calibri"/>
          <w:lang w:val="sr-Latn-ME"/>
        </w:rPr>
        <w:t xml:space="preserve">nikakve dodatne kriterijume. </w:t>
      </w:r>
    </w:p>
    <w:p w:rsidR="007715E0" w:rsidRPr="00512545" w:rsidRDefault="007715E0" w:rsidP="007715E0">
      <w:pPr>
        <w:jc w:val="both"/>
        <w:rPr>
          <w:rFonts w:eastAsia="Calibri"/>
          <w:lang w:val="sr-Latn-ME"/>
        </w:rPr>
      </w:pPr>
      <w:r w:rsidRPr="00512545">
        <w:rPr>
          <w:rFonts w:eastAsia="Calibri"/>
          <w:lang w:val="sr-Latn-ME"/>
        </w:rPr>
        <w:t>Ranije zakonsko rješenje bilo je da okrivljeni sam bira branio</w:t>
      </w:r>
      <w:r>
        <w:rPr>
          <w:rFonts w:eastAsia="Calibri"/>
          <w:lang w:val="sr-Latn-ME"/>
        </w:rPr>
        <w:t xml:space="preserve">ca sa liste Advokatske komore, </w:t>
      </w:r>
      <w:r w:rsidRPr="00512545">
        <w:rPr>
          <w:rFonts w:eastAsia="Calibri"/>
          <w:lang w:val="sr-Latn-ME"/>
        </w:rPr>
        <w:t xml:space="preserve"> a da ukoliko ne iskoristi ovo pravo, branilac će se postaviti po redosljedu sa spiska Advokatske komore.</w:t>
      </w:r>
      <w:r w:rsidRPr="00512545">
        <w:rPr>
          <w:rFonts w:eastAsia="Calibri"/>
          <w:vertAlign w:val="superscript"/>
          <w:lang w:val="sr-Latn-ME"/>
        </w:rPr>
        <w:footnoteReference w:id="3"/>
      </w:r>
      <w:r w:rsidRPr="00512545">
        <w:rPr>
          <w:rFonts w:eastAsia="Calibri"/>
          <w:lang w:val="sr-Latn-ME"/>
        </w:rPr>
        <w:t xml:space="preserve"> </w:t>
      </w:r>
    </w:p>
    <w:p w:rsidR="007715E0" w:rsidRPr="002C0C9C" w:rsidRDefault="007715E0" w:rsidP="007715E0">
      <w:pPr>
        <w:jc w:val="both"/>
        <w:rPr>
          <w:lang w:val="sr-Latn-ME" w:eastAsia="sr-Latn-ME"/>
        </w:rPr>
      </w:pPr>
      <w:r w:rsidRPr="00512545">
        <w:rPr>
          <w:rFonts w:eastAsia="Calibri"/>
          <w:lang w:val="sr-Latn-ME"/>
        </w:rPr>
        <w:t xml:space="preserve">Takođe, ZKP daje mogućnost i za postavljanje branioca zbog slabog imovnog stanja.Tako član 70 propisuje da:“  </w:t>
      </w:r>
      <w:bookmarkStart w:id="1" w:name="sadrzaj_166"/>
      <w:bookmarkEnd w:id="1"/>
      <w:r w:rsidRPr="00512545">
        <w:rPr>
          <w:lang w:val="sr-Latn-ME" w:eastAsia="sr-Latn-ME"/>
        </w:rPr>
        <w:t>(1) Kad ne postoje uslovi za obaveznu odbranu, a to zahtijevaju interesi pravičnosti, okrivljenom se, na njegov zahtjev, može postaviti branilac ako prema svom imovnom stanju ne može snositi troškove odbrane.(2) O zahtjevu odlučuje u izviđaju i istrazi nadležni državni tužilac, a nakon podignute optužbe predsjednik suda, po redosljedu sa spiska Advokatske komore.</w:t>
      </w:r>
      <w:bookmarkStart w:id="2" w:name="sadrzaj_167"/>
      <w:bookmarkEnd w:id="2"/>
      <w:r w:rsidRPr="00512545">
        <w:rPr>
          <w:lang w:val="sr-Latn-ME" w:eastAsia="sr-Latn-ME"/>
        </w:rPr>
        <w:t>U skladu sa odredbama člana 71 ZKP-a  postavljeni branilac može samo iz opravdanih razloga tražiti da bude razriješen. O razrješenju branioca prije podignute optužnice odlučuje državni tužilac, nakon podignute optužnice, predsjednik vijeća, na glavnom pretresu vijeće, a u žalbenom postupku predsjednik prvostepenog vijeća, odnosno vijeće nadležno za odlučivanje u postupku po žalbi. Protiv ovog rješenja nije dozvoljena žalba.</w:t>
      </w:r>
      <w:r>
        <w:rPr>
          <w:lang w:val="sr-Latn-ME" w:eastAsia="sr-Latn-ME"/>
        </w:rPr>
        <w:t xml:space="preserve"> </w:t>
      </w:r>
    </w:p>
    <w:p w:rsidR="007715E0" w:rsidRDefault="007715E0" w:rsidP="007715E0">
      <w:pPr>
        <w:jc w:val="both"/>
        <w:rPr>
          <w:rFonts w:eastAsia="Calibri"/>
          <w:lang w:val="sr-Latn-ME"/>
        </w:rPr>
      </w:pPr>
      <w:r w:rsidRPr="00512545">
        <w:rPr>
          <w:rFonts w:eastAsia="Calibri"/>
          <w:lang w:val="sr-Latn-ME"/>
        </w:rPr>
        <w:t>U bavljenju advokaturom advokat je dužan da postupa savjesno, u skladu sa Zakonom o advokaturi</w:t>
      </w:r>
      <w:r w:rsidRPr="00512545">
        <w:rPr>
          <w:rFonts w:eastAsia="Calibri"/>
          <w:vertAlign w:val="superscript"/>
          <w:lang w:val="sr-Latn-ME"/>
        </w:rPr>
        <w:footnoteReference w:id="4"/>
      </w:r>
      <w:r w:rsidRPr="00512545">
        <w:rPr>
          <w:rFonts w:eastAsia="Calibri"/>
          <w:lang w:val="sr-Latn-ME"/>
        </w:rPr>
        <w:t>, Kodeksom profesionalne etike advokata</w:t>
      </w:r>
      <w:r w:rsidRPr="00512545">
        <w:rPr>
          <w:rFonts w:eastAsia="Calibri"/>
          <w:vertAlign w:val="superscript"/>
          <w:lang w:val="sr-Latn-ME"/>
        </w:rPr>
        <w:footnoteReference w:id="5"/>
      </w:r>
      <w:r w:rsidRPr="00512545">
        <w:rPr>
          <w:rFonts w:eastAsia="Calibri"/>
          <w:lang w:val="sr-Latn-ME"/>
        </w:rPr>
        <w:t xml:space="preserve"> i Statutom Advokatske komore</w:t>
      </w:r>
      <w:r w:rsidRPr="00512545">
        <w:rPr>
          <w:rFonts w:eastAsia="Calibri"/>
          <w:vertAlign w:val="superscript"/>
          <w:lang w:val="sr-Latn-ME"/>
        </w:rPr>
        <w:footnoteReference w:id="6"/>
      </w:r>
      <w:r w:rsidRPr="00512545">
        <w:rPr>
          <w:rFonts w:eastAsia="Calibri"/>
          <w:lang w:val="sr-Latn-ME"/>
        </w:rPr>
        <w:t xml:space="preserve">.  </w:t>
      </w:r>
    </w:p>
    <w:p w:rsidR="007715E0" w:rsidRPr="004B0E25" w:rsidRDefault="007715E0" w:rsidP="007715E0">
      <w:pPr>
        <w:jc w:val="both"/>
        <w:rPr>
          <w:rFonts w:eastAsia="Calibri"/>
          <w:bCs/>
        </w:rPr>
      </w:pPr>
      <w:r w:rsidRPr="00512545">
        <w:rPr>
          <w:rFonts w:eastAsia="Calibri"/>
          <w:bCs/>
        </w:rPr>
        <w:t xml:space="preserve">Za razliku </w:t>
      </w:r>
      <w:proofErr w:type="gramStart"/>
      <w:r w:rsidRPr="00512545">
        <w:rPr>
          <w:rFonts w:eastAsia="Calibri"/>
          <w:bCs/>
        </w:rPr>
        <w:t>od</w:t>
      </w:r>
      <w:proofErr w:type="gramEnd"/>
      <w:r w:rsidRPr="00512545">
        <w:rPr>
          <w:rFonts w:eastAsia="Calibri"/>
          <w:bCs/>
        </w:rPr>
        <w:t xml:space="preserve"> crnogorskog ZKP-a, </w:t>
      </w:r>
      <w:r>
        <w:rPr>
          <w:rFonts w:eastAsia="Calibri"/>
          <w:bCs/>
        </w:rPr>
        <w:t xml:space="preserve">ZKP Republike Srbije sadrži drugačije zakonsko rješenje. Naime, </w:t>
      </w:r>
      <w:r w:rsidRPr="00512545">
        <w:rPr>
          <w:rFonts w:eastAsia="Calibri"/>
          <w:bCs/>
        </w:rPr>
        <w:t xml:space="preserve">Advokatska komora je obavezna, kada sastavlja spisak, da uzme u obzir činjenicu da praktični i profesionalni rad advokata u krivičnom pravu čini osnovu pretpostavke da </w:t>
      </w:r>
      <w:proofErr w:type="gramStart"/>
      <w:r w:rsidRPr="00512545">
        <w:rPr>
          <w:rFonts w:eastAsia="Calibri"/>
          <w:bCs/>
        </w:rPr>
        <w:t>će</w:t>
      </w:r>
      <w:proofErr w:type="gramEnd"/>
      <w:r w:rsidRPr="00512545">
        <w:rPr>
          <w:rFonts w:eastAsia="Calibri"/>
          <w:bCs/>
        </w:rPr>
        <w:t xml:space="preserve"> odbrana biti djelotvorna. Na osnovu ove odredbe, </w:t>
      </w:r>
      <w:r>
        <w:rPr>
          <w:rFonts w:eastAsia="Calibri"/>
          <w:bCs/>
        </w:rPr>
        <w:t xml:space="preserve">proizilazi da je </w:t>
      </w:r>
      <w:r w:rsidRPr="00512545">
        <w:rPr>
          <w:rFonts w:eastAsia="Calibri"/>
          <w:bCs/>
        </w:rPr>
        <w:t xml:space="preserve">pravna obaveza advokatske komore da preduzme neophodne mjere da osigura da je spisak advokata po službenoj dužnosti sastavljen </w:t>
      </w:r>
      <w:proofErr w:type="gramStart"/>
      <w:r w:rsidRPr="00512545">
        <w:rPr>
          <w:rFonts w:eastAsia="Calibri"/>
          <w:bCs/>
        </w:rPr>
        <w:t>od</w:t>
      </w:r>
      <w:proofErr w:type="gramEnd"/>
      <w:r w:rsidRPr="00512545">
        <w:rPr>
          <w:rFonts w:eastAsia="Calibri"/>
          <w:bCs/>
        </w:rPr>
        <w:t xml:space="preserve"> advokata na osnovu cjelokupnog praktičnog i profesionalnog rada u oblasti krivičnog prava i da se </w:t>
      </w:r>
      <w:r w:rsidRPr="00512545">
        <w:rPr>
          <w:rFonts w:eastAsia="Calibri"/>
          <w:bCs/>
        </w:rPr>
        <w:lastRenderedPageBreak/>
        <w:t>može očekivati da je profesionalna odbrana profesionalna i djelotvorna</w:t>
      </w:r>
      <w:r w:rsidRPr="00512545">
        <w:rPr>
          <w:rFonts w:eastAsia="Calibri"/>
          <w:bCs/>
          <w:vertAlign w:val="superscript"/>
        </w:rPr>
        <w:footnoteReference w:id="7"/>
      </w:r>
      <w:r w:rsidRPr="00512545">
        <w:rPr>
          <w:rFonts w:eastAsia="Calibri"/>
          <w:bCs/>
        </w:rPr>
        <w:t xml:space="preserve">. </w:t>
      </w:r>
      <w:r>
        <w:rPr>
          <w:rFonts w:eastAsia="Calibri"/>
          <w:bCs/>
        </w:rPr>
        <w:t xml:space="preserve">Ipak, pitanje je kako se to u praksi može izvesti, koji su to kriterijumi koje treba uzeti u obzir a da sve to ne dovodi do diskriminacije među advokatima. </w:t>
      </w:r>
      <w:r w:rsidRPr="00512545">
        <w:rPr>
          <w:rFonts w:eastAsia="Calibri"/>
          <w:bCs/>
        </w:rPr>
        <w:t>Shodno tome,</w:t>
      </w:r>
      <w:r>
        <w:rPr>
          <w:rFonts w:eastAsia="Calibri"/>
          <w:bCs/>
        </w:rPr>
        <w:t xml:space="preserve"> Policy Dokument – Kako unaprijediti sistem odbrana po službenoj dužnosti u Republici Srbiji, kao jednu</w:t>
      </w:r>
      <w:r w:rsidRPr="00512545">
        <w:rPr>
          <w:rFonts w:eastAsia="Calibri"/>
          <w:bCs/>
        </w:rPr>
        <w:t xml:space="preserve"> od </w:t>
      </w:r>
      <w:r>
        <w:rPr>
          <w:rFonts w:eastAsia="Calibri"/>
          <w:bCs/>
        </w:rPr>
        <w:t>preporuka</w:t>
      </w:r>
      <w:r w:rsidRPr="00512545">
        <w:rPr>
          <w:rFonts w:eastAsia="Calibri"/>
          <w:bCs/>
        </w:rPr>
        <w:t xml:space="preserve"> koje se nudi za rješavanje ovog problema je se jačanje uloge Advokatske komore i preporučuje se njena puna odgovornost za obavezujuću i kontinuiranu obuku i monitoring rada advokata po službenoj </w:t>
      </w:r>
      <w:proofErr w:type="gramStart"/>
      <w:r w:rsidRPr="00512545">
        <w:rPr>
          <w:rFonts w:eastAsia="Calibri"/>
          <w:bCs/>
        </w:rPr>
        <w:t>dužnosti</w:t>
      </w:r>
      <w:proofErr w:type="gramEnd"/>
      <w:r w:rsidRPr="00512545">
        <w:rPr>
          <w:rFonts w:eastAsia="Calibri"/>
          <w:bCs/>
          <w:vertAlign w:val="superscript"/>
        </w:rPr>
        <w:footnoteReference w:id="8"/>
      </w:r>
      <w:r>
        <w:rPr>
          <w:rFonts w:eastAsia="Calibri"/>
          <w:bCs/>
        </w:rPr>
        <w:t>(detaljnije o ostalim preporukama koje nudi ovaj dokument biće riječi kasnije u petom dijelu ove )</w:t>
      </w:r>
      <w:r w:rsidRPr="00512545">
        <w:rPr>
          <w:rFonts w:eastAsia="Calibri"/>
          <w:bCs/>
        </w:rPr>
        <w:t xml:space="preserve">. </w:t>
      </w:r>
    </w:p>
    <w:p w:rsidR="007715E0" w:rsidRPr="00512545" w:rsidRDefault="007715E0" w:rsidP="007715E0">
      <w:pPr>
        <w:autoSpaceDE w:val="0"/>
        <w:autoSpaceDN w:val="0"/>
        <w:adjustRightInd w:val="0"/>
        <w:jc w:val="both"/>
        <w:rPr>
          <w:rFonts w:eastAsia="Calibri"/>
          <w:color w:val="000000"/>
          <w:lang w:val="sr-Latn-ME"/>
        </w:rPr>
      </w:pPr>
      <w:r w:rsidRPr="00512545">
        <w:rPr>
          <w:rFonts w:eastAsia="Calibri"/>
          <w:b/>
          <w:color w:val="000000"/>
          <w:lang w:val="sr-Latn-ME"/>
        </w:rPr>
        <w:t>Zakonom o advokaturi</w:t>
      </w:r>
      <w:r w:rsidRPr="00512545">
        <w:rPr>
          <w:rFonts w:eastAsia="Calibri"/>
          <w:color w:val="000000"/>
          <w:lang w:val="sr-Latn-ME"/>
        </w:rPr>
        <w:t xml:space="preserve">  uređuju se uslovi bavljenja advokaturom, način i oblici rada advokata, prava, obaveze i odgovornosti advokata i advokatskih pripravnika, nadležnosti Advokatske komore Republike Crne Gore (u daljem tekstu: Advokatska komora) i druga pitanja od značaja za bavljenje advokaturom. Advokatura je uređena kao nezavisna i samostalna služba, koja pruža pravnu pomoć fizičkim i pravnim licima.</w:t>
      </w:r>
    </w:p>
    <w:p w:rsidR="007715E0" w:rsidRPr="00512545" w:rsidRDefault="007715E0" w:rsidP="007715E0">
      <w:pPr>
        <w:autoSpaceDE w:val="0"/>
        <w:autoSpaceDN w:val="0"/>
        <w:adjustRightInd w:val="0"/>
        <w:jc w:val="both"/>
        <w:rPr>
          <w:rFonts w:eastAsia="Calibri"/>
          <w:color w:val="000000"/>
          <w:lang w:val="sr-Latn-ME"/>
        </w:rPr>
      </w:pPr>
      <w:r w:rsidRPr="00512545">
        <w:rPr>
          <w:rFonts w:eastAsia="Calibri"/>
          <w:color w:val="000000"/>
          <w:lang w:val="sr-Latn-ME"/>
        </w:rPr>
        <w:t>U skladu sa članom 52 Zakona o advokaturi</w:t>
      </w:r>
      <w:r w:rsidRPr="00512545">
        <w:rPr>
          <w:rFonts w:eastAsia="Calibri"/>
          <w:b/>
          <w:color w:val="000000"/>
          <w:lang w:val="sr-Latn-ME"/>
        </w:rPr>
        <w:t xml:space="preserve"> </w:t>
      </w:r>
      <w:r w:rsidRPr="00512545">
        <w:rPr>
          <w:rFonts w:eastAsia="Calibri"/>
          <w:color w:val="000000"/>
          <w:lang w:val="sr-Latn-ME"/>
        </w:rPr>
        <w:t>Advokatska komora je obavezna da sudovima i drugim organima dostavi spisak advokata upisanih u imenik Advokatske komore, sa potrebnim podacima, u skladu sa pravilima Advokatske komore</w:t>
      </w:r>
      <w:r w:rsidRPr="00512545">
        <w:rPr>
          <w:rFonts w:eastAsia="Calibri"/>
          <w:b/>
          <w:bCs/>
          <w:color w:val="000000"/>
          <w:lang w:val="sr-Latn-ME"/>
        </w:rPr>
        <w:t xml:space="preserve">, </w:t>
      </w:r>
      <w:r w:rsidRPr="00512545">
        <w:rPr>
          <w:rFonts w:eastAsia="Calibri"/>
          <w:color w:val="000000"/>
          <w:lang w:val="sr-Latn-ME"/>
        </w:rPr>
        <w:t>radi određivanja branilaca po službenoj dužnosti u predkrivičnim i krivičnim postupcima.</w:t>
      </w:r>
    </w:p>
    <w:p w:rsidR="007715E0" w:rsidRPr="00512545" w:rsidRDefault="007715E0" w:rsidP="007715E0">
      <w:pPr>
        <w:autoSpaceDE w:val="0"/>
        <w:autoSpaceDN w:val="0"/>
        <w:adjustRightInd w:val="0"/>
        <w:jc w:val="both"/>
        <w:rPr>
          <w:rFonts w:eastAsia="Calibri"/>
          <w:color w:val="33211D"/>
          <w:spacing w:val="15"/>
          <w:lang w:val="sr-Latn-ME"/>
        </w:rPr>
      </w:pPr>
      <w:r w:rsidRPr="00512545">
        <w:rPr>
          <w:rFonts w:eastAsia="Calibri"/>
          <w:b/>
          <w:color w:val="33211D"/>
          <w:spacing w:val="15"/>
          <w:lang w:val="sr-Latn-ME"/>
        </w:rPr>
        <w:t>Kodeks profesionalne etike advokata</w:t>
      </w:r>
      <w:r w:rsidRPr="00512545">
        <w:rPr>
          <w:rFonts w:eastAsia="Calibri"/>
          <w:color w:val="33211D"/>
          <w:spacing w:val="15"/>
          <w:lang w:val="sr-Latn-ME"/>
        </w:rPr>
        <w:t xml:space="preserve"> (u daljem tekstu: Kodeks) skup je pravila o dužnostima i pravima advokata, zasnovanih na posebnoj vrsti i visokom stepenu njihove profesionalne i moralne odgovornosti. Kada je riječ o stručnosti i savjesnosti, Kodeks propisuje da je advokat dužan da u radu postupa stručno, sa znanjem za koje je kvalifikovan. Advokat stalno treba da prati propise, pravnu praksu i stručnu literaturu i da obnavlja, usavršava i proširuje svoje pravno i opšte obrazovanje. Nadalje, advokat je dužan da svoju profesiju obavlja savesno, brižljivo, odlučno, blagovremeno, sa iskrenošcu prema klijentu, uz punu posvećenost slučaju koji mu je poveren i uz upotrebu svih svojih znanja i sposobnosti i svih pravno dopuštenih i opravdanih sredstava. Advokat treba da se, u skladu sa svojim mogućnostima, uključi u rasprave o zakonima i drugim propisima koji su u pripremi ili su stupili na snagu i da, u opravdanim slučajevima, predlaže njihova poboljšanja i osporava njihovu ustavnost i zakonitost. Advokat je dužan da se prema svim klijentima i predmetima odnosi jedanko savjesno i stručno.  </w:t>
      </w:r>
    </w:p>
    <w:p w:rsidR="007715E0" w:rsidRPr="00512545" w:rsidRDefault="007715E0" w:rsidP="007715E0">
      <w:pPr>
        <w:spacing w:after="179"/>
        <w:jc w:val="both"/>
        <w:rPr>
          <w:rFonts w:eastAsia="Calibri"/>
          <w:lang w:val="sr-Latn-ME"/>
        </w:rPr>
      </w:pPr>
      <w:r w:rsidRPr="00512545">
        <w:rPr>
          <w:rFonts w:eastAsia="Calibri"/>
          <w:b/>
          <w:spacing w:val="15"/>
          <w:lang w:val="sr-Latn-ME"/>
        </w:rPr>
        <w:t>Statutom Advokatske komore</w:t>
      </w:r>
      <w:r w:rsidRPr="00512545">
        <w:rPr>
          <w:rFonts w:eastAsia="Calibri"/>
          <w:spacing w:val="15"/>
          <w:lang w:val="sr-Latn-ME"/>
        </w:rPr>
        <w:t xml:space="preserve"> </w:t>
      </w:r>
      <w:r w:rsidRPr="00512545">
        <w:rPr>
          <w:rFonts w:eastAsia="Calibri"/>
          <w:lang w:val="sr-Latn-ME"/>
        </w:rPr>
        <w:t xml:space="preserve">uređuju se: zadaci, unutrašnja organizacija Advokatske komore Crne Gore (u daljem tekstu: Advokatska komora), izbor i djelokrug rada njenih organa, način vršenja javnih ovlašćenja i druga pitanja od značaja za rad Advokatske komore.   </w:t>
      </w:r>
      <w:r w:rsidRPr="00512545">
        <w:rPr>
          <w:rFonts w:eastAsia="Calibri"/>
          <w:lang w:val="en-US"/>
        </w:rPr>
        <w:t xml:space="preserve">Statut predviđa i u kojim sve slučajevima </w:t>
      </w:r>
      <w:proofErr w:type="gramStart"/>
      <w:r w:rsidRPr="00512545">
        <w:rPr>
          <w:rFonts w:eastAsia="Calibri"/>
          <w:lang w:val="en-US"/>
        </w:rPr>
        <w:t>advokat  može</w:t>
      </w:r>
      <w:proofErr w:type="gramEnd"/>
      <w:r w:rsidRPr="00512545">
        <w:rPr>
          <w:rFonts w:eastAsia="Calibri"/>
          <w:b/>
          <w:lang w:val="en-US"/>
        </w:rPr>
        <w:t xml:space="preserve"> </w:t>
      </w:r>
      <w:r w:rsidRPr="00512545">
        <w:rPr>
          <w:rFonts w:eastAsia="Calibri"/>
          <w:lang w:val="en-US"/>
        </w:rPr>
        <w:t xml:space="preserve">povrijediti dužnosti i narušiti ugled advokature, i to mogu biti lakše (disciplinske neurednosti) i teže (disicplinski prestupi).  </w:t>
      </w:r>
      <w:r w:rsidRPr="00512545">
        <w:rPr>
          <w:rFonts w:eastAsia="Calibri"/>
          <w:lang w:val="sr-Latn-ME"/>
        </w:rPr>
        <w:t>Za lakše povrede dužnosti i narušavanje ugleda advokature može se izreći opomena ili novčana kazna, a za teže povrede može se izreći novčana kazna, privremeno brisanje iz Imenika advokata ili brisanje iz Imenika advokata</w:t>
      </w:r>
      <w:r w:rsidRPr="00512545">
        <w:rPr>
          <w:rFonts w:eastAsia="Calibri"/>
          <w:vertAlign w:val="superscript"/>
          <w:lang w:val="sr-Latn-ME"/>
        </w:rPr>
        <w:footnoteReference w:id="9"/>
      </w:r>
      <w:r w:rsidRPr="00512545">
        <w:rPr>
          <w:rFonts w:eastAsia="Calibri"/>
          <w:lang w:val="sr-Latn-ME"/>
        </w:rPr>
        <w:t xml:space="preserve">.  </w:t>
      </w:r>
    </w:p>
    <w:p w:rsidR="007715E0" w:rsidRPr="00512545" w:rsidRDefault="007715E0" w:rsidP="007715E0">
      <w:pPr>
        <w:jc w:val="both"/>
        <w:rPr>
          <w:rFonts w:eastAsia="Calibri"/>
          <w:color w:val="FF0000"/>
          <w:spacing w:val="15"/>
          <w:lang w:val="sr-Latn-ME"/>
        </w:rPr>
      </w:pPr>
      <w:r w:rsidRPr="00512545">
        <w:rPr>
          <w:rFonts w:eastAsia="Calibri"/>
          <w:b/>
          <w:spacing w:val="15"/>
          <w:lang w:val="sr-Latn-ME"/>
        </w:rPr>
        <w:lastRenderedPageBreak/>
        <w:t>Advokatskom tarifom AKCG</w:t>
      </w:r>
      <w:r w:rsidRPr="00512545">
        <w:rPr>
          <w:rFonts w:eastAsia="Calibri"/>
          <w:spacing w:val="15"/>
          <w:vertAlign w:val="superscript"/>
          <w:lang w:val="sr-Latn-ME"/>
        </w:rPr>
        <w:footnoteReference w:id="10"/>
      </w:r>
      <w:r w:rsidRPr="00512545">
        <w:rPr>
          <w:rFonts w:eastAsia="Calibri"/>
          <w:spacing w:val="15"/>
          <w:lang w:val="sr-Latn-ME"/>
        </w:rPr>
        <w:t xml:space="preserve"> </w:t>
      </w:r>
      <w:r w:rsidRPr="00512545">
        <w:rPr>
          <w:rFonts w:eastAsia="Calibri"/>
          <w:lang w:val="en-US"/>
        </w:rPr>
        <w:t>određuju se nagrade i naknade troškova</w:t>
      </w:r>
      <w:r w:rsidRPr="00512545">
        <w:rPr>
          <w:rFonts w:eastAsia="Calibri"/>
          <w:color w:val="FF9900"/>
          <w:lang w:val="en-US"/>
        </w:rPr>
        <w:t xml:space="preserve"> </w:t>
      </w:r>
      <w:r w:rsidRPr="00512545">
        <w:rPr>
          <w:rFonts w:eastAsia="Calibri"/>
          <w:lang w:val="en-US"/>
        </w:rPr>
        <w:t xml:space="preserve">za rad advokata. Visina nagrade određuje se u zavisnosti </w:t>
      </w:r>
      <w:proofErr w:type="gramStart"/>
      <w:r w:rsidRPr="00512545">
        <w:rPr>
          <w:rFonts w:eastAsia="Calibri"/>
          <w:lang w:val="en-US"/>
        </w:rPr>
        <w:t>od</w:t>
      </w:r>
      <w:proofErr w:type="gramEnd"/>
      <w:r w:rsidRPr="00512545">
        <w:rPr>
          <w:rFonts w:eastAsia="Calibri"/>
          <w:lang w:val="en-US"/>
        </w:rPr>
        <w:t xml:space="preserve"> vrste postupka u kojem advokat postupa i vrste usluge koju pruža. Kada je u pitanju rad advokata za odbrane</w:t>
      </w:r>
      <w:r>
        <w:rPr>
          <w:rFonts w:eastAsia="Calibri"/>
          <w:lang w:val="en-US"/>
        </w:rPr>
        <w:t xml:space="preserve"> </w:t>
      </w:r>
      <w:r w:rsidRPr="00512545">
        <w:rPr>
          <w:rFonts w:eastAsia="Calibri"/>
          <w:lang w:val="en-US"/>
        </w:rPr>
        <w:t>po slu</w:t>
      </w:r>
      <w:r w:rsidRPr="00512545">
        <w:rPr>
          <w:rFonts w:eastAsia="Calibri"/>
          <w:lang w:val="sr-Latn-RS"/>
        </w:rPr>
        <w:t>žbenoj dužnosti, Odlukom o visini naknade za rad advokata po službenoj dužnosti</w:t>
      </w:r>
      <w:r w:rsidRPr="00512545">
        <w:rPr>
          <w:color w:val="000000"/>
          <w:vertAlign w:val="superscript"/>
          <w:lang w:val="sr-Latn-RS"/>
        </w:rPr>
        <w:footnoteReference w:id="11"/>
      </w:r>
      <w:r w:rsidRPr="00512545">
        <w:rPr>
          <w:rFonts w:eastAsia="Calibri"/>
          <w:lang w:val="sr-Latn-RS"/>
        </w:rPr>
        <w:t xml:space="preserve"> utvrđena je naknada u visini od 75% iznosa utvrđenog AT za odbrane po službenoj dužnosti u postupcima organizovanog kriminala, i naknada od 100% iznosa utvrđenog AT za odbrane po službenoj dužnosti u postupcima za krivična djela za koja se može izreći kazna zatvora od 20 godina. </w:t>
      </w:r>
      <w:r w:rsidR="004549D6">
        <w:rPr>
          <w:rFonts w:eastAsia="Calibri"/>
          <w:lang w:val="sl-SI" w:eastAsia="hr-HR"/>
        </w:rPr>
        <w:t xml:space="preserve">    </w:t>
      </w:r>
    </w:p>
    <w:p w:rsidR="007715E0" w:rsidRPr="00512545" w:rsidRDefault="007715E0" w:rsidP="007715E0">
      <w:pPr>
        <w:jc w:val="both"/>
        <w:rPr>
          <w:rFonts w:eastAsia="Calibri"/>
          <w:b/>
          <w:lang w:val="sr-Latn-ME"/>
        </w:rPr>
      </w:pPr>
    </w:p>
    <w:p w:rsidR="007715E0" w:rsidRPr="00512545" w:rsidRDefault="007715E0" w:rsidP="007715E0">
      <w:pPr>
        <w:jc w:val="both"/>
        <w:rPr>
          <w:rFonts w:eastAsia="Calibri"/>
          <w:b/>
          <w:lang w:val="sr-Latn-ME"/>
        </w:rPr>
      </w:pPr>
      <w:r w:rsidRPr="00512545">
        <w:rPr>
          <w:rFonts w:eastAsia="Calibri"/>
          <w:b/>
          <w:lang w:val="sr-Latn-ME"/>
        </w:rPr>
        <w:t>3. Međunarodni dokumenti i relevantna praksa ESLJP</w:t>
      </w:r>
    </w:p>
    <w:p w:rsidR="007715E0" w:rsidRPr="00512545" w:rsidRDefault="007715E0" w:rsidP="007715E0">
      <w:pPr>
        <w:jc w:val="both"/>
      </w:pPr>
    </w:p>
    <w:p w:rsidR="004549D6" w:rsidRDefault="007715E0" w:rsidP="007715E0">
      <w:pPr>
        <w:jc w:val="both"/>
      </w:pPr>
      <w:r w:rsidRPr="00512545">
        <w:t xml:space="preserve">Pravo </w:t>
      </w:r>
      <w:r w:rsidRPr="00512545">
        <w:rPr>
          <w:rFonts w:eastAsia="Calibri"/>
          <w:lang w:val="sr-Latn-ME"/>
        </w:rPr>
        <w:t>na branioca je zagarantovano brojnim međunarodnim dokumentima, kao što</w:t>
      </w:r>
      <w:r w:rsidRPr="00512545">
        <w:t xml:space="preserve"> je </w:t>
      </w:r>
      <w:r w:rsidRPr="00512545">
        <w:rPr>
          <w:i/>
        </w:rPr>
        <w:t>Univerzalna  deklaracija o ljudskim pravima</w:t>
      </w:r>
      <w:r w:rsidRPr="00512545">
        <w:rPr>
          <w:i/>
          <w:vertAlign w:val="superscript"/>
        </w:rPr>
        <w:footnoteReference w:id="12"/>
      </w:r>
      <w:r w:rsidRPr="00512545">
        <w:t xml:space="preserve">, </w:t>
      </w:r>
      <w:r w:rsidRPr="00071BA9">
        <w:t>koja u članu 11 navodi  da svako ko je optužen  za krivično djelo ima pravo da se smatra nevinim dok se osnovu zakona krivica ne dokaže  na javnom suđenju na kojem su mu obezbijeđene sve garancije neophodne za njegovu odbranu</w:t>
      </w:r>
      <w:r w:rsidRPr="009E2A3F">
        <w:rPr>
          <w:color w:val="FF0000"/>
        </w:rPr>
        <w:t xml:space="preserve">. </w:t>
      </w:r>
      <w:r w:rsidRPr="00512545">
        <w:t xml:space="preserve">Takođe, </w:t>
      </w:r>
      <w:r w:rsidRPr="00512545">
        <w:rPr>
          <w:i/>
        </w:rPr>
        <w:t>Međunarodni pakt o građanskim i političkim</w:t>
      </w:r>
      <w:r w:rsidRPr="00512545">
        <w:t xml:space="preserve"> pravima u članu 14 kaže da svako ima pravo da bude prisutan na suđenju, da se brani sam ili uz pomoć pravnog zastupnika po svom izboru; da bude obaviješten o svom pravu da ga ima i, kad god interes pravde to zahtijeva, da mu se postavi branilac po zvaničnoj dužnosti, bez plaćanja troškova ako nema dovoljno sredstava da ga plati. </w:t>
      </w:r>
      <w:proofErr w:type="gramStart"/>
      <w:r w:rsidRPr="00512545">
        <w:t>Statut Međunarodnog krivičnog suda u članu 67 predviđa širok spektar prava optuženog.</w:t>
      </w:r>
      <w:proofErr w:type="gramEnd"/>
      <w:r w:rsidRPr="00512545">
        <w:t xml:space="preserve"> Pravo na odbranu, garantovano članom 6 Evropske konvencije o zaštiti osnovnih ljudkih </w:t>
      </w:r>
      <w:proofErr w:type="gramStart"/>
      <w:r w:rsidRPr="00512545">
        <w:t>prava  i</w:t>
      </w:r>
      <w:proofErr w:type="gramEnd"/>
      <w:r w:rsidRPr="00512545">
        <w:t xml:space="preserve"> sloboda</w:t>
      </w:r>
      <w:r w:rsidRPr="00512545">
        <w:rPr>
          <w:vertAlign w:val="superscript"/>
        </w:rPr>
        <w:footnoteReference w:id="13"/>
      </w:r>
      <w:r w:rsidRPr="00512545">
        <w:t xml:space="preserve">(u daljem tekstu-Konvencija), definiše, između ostalog, da optuženi ima dovoljno vremena i mogućnosti za pripremanje odbrane i da se brani lično ili putem branioca koga sam izabere ili, ako nema dovoljno sredstava da plati za pravnu pomoć, da ovu pomoć dobije besplatno kada interesi pravde to zahtijevaju. U smislu Konvencije, pravo </w:t>
      </w:r>
      <w:proofErr w:type="gramStart"/>
      <w:r w:rsidRPr="00512545">
        <w:t>na</w:t>
      </w:r>
      <w:proofErr w:type="gramEnd"/>
      <w:r w:rsidRPr="00512545">
        <w:t xml:space="preserve"> odbranu predstvlja uslov za ostvarivanje ljudskih prava optuženoga i važan je dio pravana fer i pravično suđenje. Samim </w:t>
      </w:r>
      <w:proofErr w:type="gramStart"/>
      <w:r w:rsidRPr="00512545">
        <w:t>tim</w:t>
      </w:r>
      <w:proofErr w:type="gramEnd"/>
      <w:r w:rsidRPr="00512545">
        <w:t xml:space="preserve"> nepoštovanje procesnih garancija prava na odbranu sadržanih u članu 6 Konvencije povlači za sobom kršenje standarda prava na fer suđenje. </w:t>
      </w:r>
    </w:p>
    <w:p w:rsidR="007715E0" w:rsidRDefault="007715E0" w:rsidP="007715E0">
      <w:pPr>
        <w:jc w:val="both"/>
      </w:pPr>
      <w:r>
        <w:t>Osnovni principi Ujedinjenih Nacija o ulozi advokata</w:t>
      </w:r>
      <w:r>
        <w:rPr>
          <w:rStyle w:val="FootnoteReference"/>
        </w:rPr>
        <w:footnoteReference w:id="14"/>
      </w:r>
      <w:r>
        <w:t xml:space="preserve">, </w:t>
      </w:r>
      <w:r w:rsidRPr="0078520F">
        <w:t xml:space="preserve">navode da adekvatna zaštita ljudskih prava i osnovnih sloboda </w:t>
      </w:r>
      <w:proofErr w:type="gramStart"/>
      <w:r w:rsidRPr="0078520F">
        <w:t>na</w:t>
      </w:r>
      <w:proofErr w:type="gramEnd"/>
      <w:r w:rsidRPr="0078520F">
        <w:t xml:space="preserve"> koju sve osobe imaju pravo, bilo da su ekonomske, društvene i kulturne, ili građanske i političke, zahtijeva da sva lica imaju djelotvoran pristup pravnim uslugama koje pruža nezavisna pravna profesija. Princip 12 predviđa da </w:t>
      </w:r>
      <w:proofErr w:type="gramStart"/>
      <w:r w:rsidRPr="0078520F">
        <w:t>će</w:t>
      </w:r>
      <w:proofErr w:type="gramEnd"/>
      <w:r w:rsidRPr="0078520F">
        <w:t xml:space="preserve"> advokati u svako vrijeme održavati čast i dostojanstvo svoje profesije, kao suštinski zastupnici sprovođenja pravde.</w:t>
      </w:r>
      <w:r w:rsidRPr="00512545">
        <w:t xml:space="preserve"> </w:t>
      </w:r>
    </w:p>
    <w:p w:rsidR="007715E0" w:rsidRPr="00512545" w:rsidRDefault="007715E0" w:rsidP="007715E0">
      <w:pPr>
        <w:jc w:val="both"/>
        <w:rPr>
          <w:rFonts w:ascii="TimesNewRomanPSMT" w:eastAsia="Calibri" w:hAnsi="TimesNewRomanPSMT" w:cs="TimesNewRomanPSMT"/>
        </w:rPr>
      </w:pPr>
      <w:proofErr w:type="gramStart"/>
      <w:r w:rsidRPr="00512545">
        <w:rPr>
          <w:rFonts w:eastAsia="Calibri"/>
          <w:lang w:val="en-US"/>
        </w:rPr>
        <w:t>U</w:t>
      </w:r>
      <w:r w:rsidRPr="00512545">
        <w:rPr>
          <w:rFonts w:eastAsia="Calibri"/>
        </w:rPr>
        <w:t xml:space="preserve"> </w:t>
      </w:r>
      <w:r w:rsidRPr="00512545">
        <w:rPr>
          <w:rFonts w:eastAsia="Calibri"/>
          <w:lang w:val="en-US"/>
        </w:rPr>
        <w:t>brojnim</w:t>
      </w:r>
      <w:r w:rsidRPr="00512545">
        <w:rPr>
          <w:rFonts w:eastAsia="Calibri"/>
        </w:rPr>
        <w:t xml:space="preserve"> </w:t>
      </w:r>
      <w:r w:rsidRPr="00512545">
        <w:rPr>
          <w:rFonts w:eastAsia="Calibri"/>
          <w:lang w:val="en-US"/>
        </w:rPr>
        <w:t>predmetima</w:t>
      </w:r>
      <w:r w:rsidRPr="00512545">
        <w:rPr>
          <w:rFonts w:eastAsia="Calibri"/>
        </w:rPr>
        <w:t xml:space="preserve"> </w:t>
      </w:r>
      <w:r w:rsidRPr="00512545">
        <w:rPr>
          <w:rFonts w:eastAsia="Calibri"/>
          <w:lang w:val="en-US"/>
        </w:rPr>
        <w:t>u</w:t>
      </w:r>
      <w:r w:rsidRPr="00512545">
        <w:rPr>
          <w:rFonts w:eastAsia="Calibri"/>
        </w:rPr>
        <w:t xml:space="preserve"> </w:t>
      </w:r>
      <w:r w:rsidRPr="00512545">
        <w:rPr>
          <w:rFonts w:eastAsia="Calibri"/>
          <w:lang w:val="en-US"/>
        </w:rPr>
        <w:t>kojima</w:t>
      </w:r>
      <w:r w:rsidRPr="00512545">
        <w:rPr>
          <w:rFonts w:eastAsia="Calibri"/>
        </w:rPr>
        <w:t xml:space="preserve"> </w:t>
      </w:r>
      <w:r w:rsidRPr="00512545">
        <w:rPr>
          <w:rFonts w:eastAsia="Calibri"/>
          <w:lang w:val="en-US"/>
        </w:rPr>
        <w:t>su</w:t>
      </w:r>
      <w:r w:rsidRPr="00512545">
        <w:rPr>
          <w:rFonts w:eastAsia="Calibri"/>
        </w:rPr>
        <w:t xml:space="preserve"> </w:t>
      </w:r>
      <w:r w:rsidRPr="00512545">
        <w:rPr>
          <w:rFonts w:eastAsia="Calibri"/>
          <w:lang w:val="en-US"/>
        </w:rPr>
        <w:t>se</w:t>
      </w:r>
      <w:r w:rsidRPr="00512545">
        <w:rPr>
          <w:rFonts w:eastAsia="Calibri"/>
        </w:rPr>
        <w:t xml:space="preserve"> </w:t>
      </w:r>
      <w:r w:rsidRPr="00512545">
        <w:rPr>
          <w:rFonts w:eastAsia="Calibri"/>
          <w:lang w:val="en-US"/>
        </w:rPr>
        <w:t>pojavila</w:t>
      </w:r>
      <w:r w:rsidRPr="00512545">
        <w:rPr>
          <w:rFonts w:eastAsia="Calibri"/>
        </w:rPr>
        <w:t xml:space="preserve"> </w:t>
      </w:r>
      <w:r w:rsidRPr="00512545">
        <w:rPr>
          <w:rFonts w:eastAsia="Calibri"/>
          <w:lang w:val="en-US"/>
        </w:rPr>
        <w:t>pitanja</w:t>
      </w:r>
      <w:r w:rsidRPr="00512545">
        <w:rPr>
          <w:rFonts w:eastAsia="Calibri"/>
        </w:rPr>
        <w:t xml:space="preserve"> </w:t>
      </w:r>
      <w:r w:rsidRPr="00512545">
        <w:rPr>
          <w:rFonts w:eastAsia="Calibri"/>
          <w:lang w:val="en-US"/>
        </w:rPr>
        <w:t>u</w:t>
      </w:r>
      <w:r w:rsidRPr="00512545">
        <w:rPr>
          <w:rFonts w:eastAsia="Calibri"/>
        </w:rPr>
        <w:t xml:space="preserve"> </w:t>
      </w:r>
      <w:r w:rsidRPr="00512545">
        <w:rPr>
          <w:rFonts w:eastAsia="Calibri"/>
          <w:lang w:val="en-US"/>
        </w:rPr>
        <w:t>vezi</w:t>
      </w:r>
      <w:r w:rsidRPr="00512545">
        <w:rPr>
          <w:rFonts w:eastAsia="Calibri"/>
        </w:rPr>
        <w:t xml:space="preserve"> č</w:t>
      </w:r>
      <w:r w:rsidRPr="00512545">
        <w:rPr>
          <w:rFonts w:eastAsia="Calibri"/>
          <w:lang w:val="en-US"/>
        </w:rPr>
        <w:t>lana</w:t>
      </w:r>
      <w:r w:rsidRPr="00512545">
        <w:rPr>
          <w:rFonts w:eastAsia="Calibri"/>
        </w:rPr>
        <w:t xml:space="preserve"> 6.3.</w:t>
      </w:r>
      <w:r w:rsidRPr="00512545">
        <w:rPr>
          <w:rFonts w:eastAsia="Calibri"/>
          <w:lang w:val="en-US"/>
        </w:rPr>
        <w:t>c</w:t>
      </w:r>
      <w:r w:rsidRPr="00512545">
        <w:rPr>
          <w:rFonts w:eastAsia="Calibri"/>
        </w:rPr>
        <w:t xml:space="preserve">) </w:t>
      </w:r>
      <w:r w:rsidRPr="00512545">
        <w:rPr>
          <w:rFonts w:eastAsia="Calibri"/>
          <w:lang w:val="en-US"/>
        </w:rPr>
        <w:t>ESLJP</w:t>
      </w:r>
      <w:r w:rsidRPr="00512545">
        <w:rPr>
          <w:rFonts w:eastAsia="Calibri"/>
        </w:rPr>
        <w:t xml:space="preserve"> </w:t>
      </w:r>
      <w:r w:rsidRPr="00512545">
        <w:rPr>
          <w:rFonts w:eastAsia="Calibri"/>
          <w:lang w:val="en-US"/>
        </w:rPr>
        <w:t>je</w:t>
      </w:r>
      <w:r w:rsidRPr="00512545">
        <w:rPr>
          <w:rFonts w:eastAsia="Calibri"/>
        </w:rPr>
        <w:t xml:space="preserve"> </w:t>
      </w:r>
      <w:r w:rsidRPr="00512545">
        <w:rPr>
          <w:rFonts w:eastAsia="Calibri"/>
          <w:lang w:val="en-US"/>
        </w:rPr>
        <w:t>naglasio</w:t>
      </w:r>
      <w:r w:rsidRPr="00512545">
        <w:rPr>
          <w:rFonts w:eastAsia="Calibri"/>
        </w:rPr>
        <w:t xml:space="preserve"> </w:t>
      </w:r>
      <w:r w:rsidRPr="00512545">
        <w:rPr>
          <w:rFonts w:eastAsia="Calibri"/>
          <w:lang w:val="en-US"/>
        </w:rPr>
        <w:t>razlikovanje</w:t>
      </w:r>
      <w:r w:rsidRPr="00512545">
        <w:rPr>
          <w:rFonts w:eastAsia="Calibri"/>
        </w:rPr>
        <w:t xml:space="preserve"> </w:t>
      </w:r>
      <w:r w:rsidRPr="00512545">
        <w:rPr>
          <w:rFonts w:eastAsia="Calibri"/>
          <w:lang w:val="en-US"/>
        </w:rPr>
        <w:t>izme</w:t>
      </w:r>
      <w:r w:rsidRPr="00512545">
        <w:rPr>
          <w:rFonts w:eastAsia="Calibri"/>
        </w:rPr>
        <w:t>đ</w:t>
      </w:r>
      <w:r w:rsidRPr="00512545">
        <w:rPr>
          <w:rFonts w:eastAsia="Calibri"/>
          <w:lang w:val="en-US"/>
        </w:rPr>
        <w:t>u</w:t>
      </w:r>
      <w:r w:rsidRPr="00512545">
        <w:rPr>
          <w:rFonts w:eastAsia="Calibri"/>
        </w:rPr>
        <w:t xml:space="preserve"> </w:t>
      </w:r>
      <w:r w:rsidRPr="00512545">
        <w:rPr>
          <w:rFonts w:eastAsia="Calibri"/>
          <w:lang w:val="en-US"/>
        </w:rPr>
        <w:t>de</w:t>
      </w:r>
      <w:r w:rsidRPr="00512545">
        <w:rPr>
          <w:rFonts w:eastAsia="Calibri"/>
        </w:rPr>
        <w:t xml:space="preserve"> </w:t>
      </w:r>
      <w:r w:rsidRPr="00512545">
        <w:rPr>
          <w:rFonts w:eastAsia="Calibri"/>
          <w:lang w:val="en-US"/>
        </w:rPr>
        <w:t>jure</w:t>
      </w:r>
      <w:r w:rsidRPr="00512545">
        <w:rPr>
          <w:rFonts w:eastAsia="Calibri"/>
        </w:rPr>
        <w:t xml:space="preserve"> </w:t>
      </w:r>
      <w:r w:rsidRPr="00512545">
        <w:rPr>
          <w:rFonts w:eastAsia="Calibri"/>
          <w:lang w:val="en-US"/>
        </w:rPr>
        <w:t>i</w:t>
      </w:r>
      <w:r w:rsidRPr="00512545">
        <w:rPr>
          <w:rFonts w:eastAsia="Calibri"/>
        </w:rPr>
        <w:t xml:space="preserve"> </w:t>
      </w:r>
      <w:r w:rsidRPr="00512545">
        <w:rPr>
          <w:rFonts w:eastAsia="Calibri"/>
          <w:lang w:val="en-US"/>
        </w:rPr>
        <w:t>de</w:t>
      </w:r>
      <w:r w:rsidRPr="00512545">
        <w:rPr>
          <w:rFonts w:eastAsia="Calibri"/>
        </w:rPr>
        <w:t xml:space="preserve"> </w:t>
      </w:r>
      <w:r w:rsidRPr="00512545">
        <w:rPr>
          <w:rFonts w:eastAsia="Calibri"/>
          <w:lang w:val="en-US"/>
        </w:rPr>
        <w:t>facto</w:t>
      </w:r>
      <w:r w:rsidRPr="00512545">
        <w:rPr>
          <w:rFonts w:eastAsia="Calibri"/>
        </w:rPr>
        <w:t xml:space="preserve"> </w:t>
      </w:r>
      <w:r w:rsidRPr="00512545">
        <w:rPr>
          <w:rFonts w:eastAsia="Calibri"/>
          <w:lang w:val="en-US"/>
        </w:rPr>
        <w:t>za</w:t>
      </w:r>
      <w:r w:rsidRPr="00512545">
        <w:rPr>
          <w:rFonts w:eastAsia="Calibri"/>
        </w:rPr>
        <w:t>š</w:t>
      </w:r>
      <w:r w:rsidRPr="00512545">
        <w:rPr>
          <w:rFonts w:eastAsia="Calibri"/>
          <w:lang w:val="en-US"/>
        </w:rPr>
        <w:t>tite</w:t>
      </w:r>
      <w:r w:rsidRPr="00512545">
        <w:rPr>
          <w:rFonts w:eastAsia="Calibri"/>
        </w:rPr>
        <w:t>.</w:t>
      </w:r>
      <w:proofErr w:type="gramEnd"/>
      <w:r w:rsidRPr="00512545">
        <w:rPr>
          <w:rFonts w:eastAsia="Calibri"/>
        </w:rPr>
        <w:t xml:space="preserve"> </w:t>
      </w:r>
      <w:r w:rsidRPr="00512545">
        <w:rPr>
          <w:rFonts w:eastAsia="Calibri"/>
          <w:lang w:val="en-US"/>
        </w:rPr>
        <w:t>Na</w:t>
      </w:r>
      <w:r w:rsidRPr="00512545">
        <w:rPr>
          <w:rFonts w:eastAsia="Calibri"/>
        </w:rPr>
        <w:t xml:space="preserve"> </w:t>
      </w:r>
      <w:r w:rsidRPr="00512545">
        <w:rPr>
          <w:rFonts w:eastAsia="Calibri"/>
          <w:lang w:val="en-US"/>
        </w:rPr>
        <w:t>primjer</w:t>
      </w:r>
      <w:r w:rsidRPr="00512545">
        <w:rPr>
          <w:rFonts w:eastAsia="Calibri"/>
        </w:rPr>
        <w:t xml:space="preserve">, </w:t>
      </w:r>
      <w:r w:rsidRPr="00512545">
        <w:rPr>
          <w:rFonts w:eastAsia="Calibri"/>
          <w:lang w:val="en-US"/>
        </w:rPr>
        <w:t>ESLJPS</w:t>
      </w:r>
      <w:r w:rsidRPr="00512545">
        <w:rPr>
          <w:rFonts w:eastAsia="Calibri"/>
        </w:rPr>
        <w:t xml:space="preserve"> </w:t>
      </w:r>
      <w:r w:rsidRPr="00512545">
        <w:rPr>
          <w:rFonts w:eastAsia="Calibri"/>
          <w:lang w:val="en-US"/>
        </w:rPr>
        <w:t>je</w:t>
      </w:r>
      <w:r w:rsidRPr="00512545">
        <w:rPr>
          <w:rFonts w:eastAsia="Calibri"/>
        </w:rPr>
        <w:t xml:space="preserve"> </w:t>
      </w:r>
      <w:r w:rsidRPr="00512545">
        <w:rPr>
          <w:rFonts w:eastAsia="Calibri"/>
          <w:lang w:val="en-US"/>
        </w:rPr>
        <w:t>utvrdio</w:t>
      </w:r>
      <w:r w:rsidRPr="00512545">
        <w:rPr>
          <w:rFonts w:eastAsia="Calibri"/>
        </w:rPr>
        <w:t xml:space="preserve"> </w:t>
      </w:r>
      <w:r w:rsidRPr="00512545">
        <w:rPr>
          <w:rFonts w:eastAsia="Calibri"/>
          <w:lang w:val="en-US"/>
        </w:rPr>
        <w:t>povrede</w:t>
      </w:r>
      <w:r w:rsidRPr="00512545">
        <w:rPr>
          <w:rFonts w:eastAsia="Calibri"/>
        </w:rPr>
        <w:t xml:space="preserve"> </w:t>
      </w:r>
      <w:r w:rsidRPr="00512545">
        <w:rPr>
          <w:rFonts w:eastAsia="Calibri"/>
          <w:lang w:val="en-US"/>
        </w:rPr>
        <w:t>ove</w:t>
      </w:r>
      <w:r w:rsidRPr="00512545">
        <w:rPr>
          <w:rFonts w:eastAsia="Calibri"/>
        </w:rPr>
        <w:t xml:space="preserve"> </w:t>
      </w:r>
      <w:r w:rsidRPr="00512545">
        <w:rPr>
          <w:rFonts w:eastAsia="Calibri"/>
          <w:lang w:val="en-US"/>
        </w:rPr>
        <w:t>odredbe</w:t>
      </w:r>
      <w:r w:rsidRPr="00512545">
        <w:rPr>
          <w:rFonts w:eastAsia="Calibri"/>
        </w:rPr>
        <w:t xml:space="preserve"> </w:t>
      </w:r>
      <w:r w:rsidRPr="00512545">
        <w:rPr>
          <w:rFonts w:eastAsia="Calibri"/>
          <w:lang w:val="en-US"/>
        </w:rPr>
        <w:t>kada</w:t>
      </w:r>
      <w:r w:rsidRPr="00512545">
        <w:rPr>
          <w:rFonts w:eastAsia="Calibri"/>
        </w:rPr>
        <w:t xml:space="preserve"> </w:t>
      </w:r>
      <w:r w:rsidRPr="00512545">
        <w:rPr>
          <w:rFonts w:eastAsia="Calibri"/>
          <w:lang w:val="en-US"/>
        </w:rPr>
        <w:t>branilac</w:t>
      </w:r>
      <w:r w:rsidRPr="00512545">
        <w:rPr>
          <w:rFonts w:eastAsia="Calibri"/>
        </w:rPr>
        <w:t xml:space="preserve"> </w:t>
      </w:r>
      <w:r w:rsidRPr="00512545">
        <w:rPr>
          <w:rFonts w:eastAsia="Calibri"/>
          <w:lang w:val="en-US"/>
        </w:rPr>
        <w:t>postavljen</w:t>
      </w:r>
      <w:r w:rsidRPr="00512545">
        <w:rPr>
          <w:rFonts w:eastAsia="Calibri"/>
        </w:rPr>
        <w:t xml:space="preserve"> </w:t>
      </w:r>
      <w:r w:rsidRPr="00512545">
        <w:rPr>
          <w:rFonts w:eastAsia="Calibri"/>
          <w:lang w:val="en-US"/>
        </w:rPr>
        <w:t>od</w:t>
      </w:r>
      <w:r w:rsidRPr="00512545">
        <w:rPr>
          <w:rFonts w:eastAsia="Calibri"/>
        </w:rPr>
        <w:t xml:space="preserve"> </w:t>
      </w:r>
      <w:r w:rsidRPr="00512545">
        <w:rPr>
          <w:rFonts w:eastAsia="Calibri"/>
          <w:lang w:val="en-US"/>
        </w:rPr>
        <w:t>strane</w:t>
      </w:r>
      <w:r w:rsidRPr="00512545">
        <w:rPr>
          <w:rFonts w:eastAsia="Calibri"/>
        </w:rPr>
        <w:t xml:space="preserve"> </w:t>
      </w:r>
      <w:r w:rsidRPr="00512545">
        <w:rPr>
          <w:rFonts w:eastAsia="Calibri"/>
          <w:lang w:val="en-US"/>
        </w:rPr>
        <w:t>suda</w:t>
      </w:r>
      <w:r w:rsidRPr="00512545">
        <w:rPr>
          <w:rFonts w:eastAsia="Calibri"/>
        </w:rPr>
        <w:t xml:space="preserve"> </w:t>
      </w:r>
      <w:r w:rsidRPr="00512545">
        <w:rPr>
          <w:rFonts w:eastAsia="Calibri"/>
          <w:lang w:val="en-US"/>
        </w:rPr>
        <w:t>nije</w:t>
      </w:r>
      <w:r w:rsidRPr="00512545">
        <w:rPr>
          <w:rFonts w:eastAsia="Calibri"/>
        </w:rPr>
        <w:t xml:space="preserve"> </w:t>
      </w:r>
      <w:r w:rsidRPr="00512545">
        <w:rPr>
          <w:rFonts w:eastAsia="Calibri"/>
          <w:lang w:val="en-US"/>
        </w:rPr>
        <w:t>marljivo</w:t>
      </w:r>
      <w:r w:rsidRPr="00512545">
        <w:rPr>
          <w:rFonts w:eastAsia="Calibri"/>
        </w:rPr>
        <w:t xml:space="preserve"> </w:t>
      </w:r>
      <w:r w:rsidRPr="00512545">
        <w:rPr>
          <w:rFonts w:eastAsia="Calibri"/>
          <w:lang w:val="en-US"/>
        </w:rPr>
        <w:t>branio</w:t>
      </w:r>
      <w:r w:rsidRPr="00512545">
        <w:rPr>
          <w:rFonts w:eastAsia="Calibri"/>
        </w:rPr>
        <w:t xml:space="preserve"> </w:t>
      </w:r>
      <w:r w:rsidRPr="00512545">
        <w:rPr>
          <w:rFonts w:eastAsia="Calibri"/>
          <w:lang w:val="en-US"/>
        </w:rPr>
        <w:t>svoje</w:t>
      </w:r>
      <w:r w:rsidRPr="00512545">
        <w:rPr>
          <w:rFonts w:eastAsia="Calibri"/>
        </w:rPr>
        <w:t xml:space="preserve"> </w:t>
      </w:r>
      <w:proofErr w:type="gramStart"/>
      <w:r w:rsidRPr="00512545">
        <w:rPr>
          <w:rFonts w:eastAsia="Calibri"/>
          <w:lang w:val="en-US"/>
        </w:rPr>
        <w:t>klijente</w:t>
      </w:r>
      <w:r w:rsidRPr="00512545">
        <w:rPr>
          <w:rFonts w:eastAsia="Calibri"/>
        </w:rPr>
        <w:t>(</w:t>
      </w:r>
      <w:proofErr w:type="gramEnd"/>
      <w:r w:rsidRPr="00512545">
        <w:rPr>
          <w:rFonts w:eastAsia="Calibri"/>
        </w:rPr>
        <w:t xml:space="preserve"> </w:t>
      </w:r>
      <w:r w:rsidRPr="00512545">
        <w:rPr>
          <w:rFonts w:eastAsia="Calibri"/>
          <w:lang w:val="en-US"/>
        </w:rPr>
        <w:t>Artico</w:t>
      </w:r>
      <w:r w:rsidRPr="00512545">
        <w:rPr>
          <w:rFonts w:eastAsia="Calibri"/>
        </w:rPr>
        <w:t xml:space="preserve"> </w:t>
      </w:r>
      <w:r w:rsidRPr="00512545">
        <w:rPr>
          <w:rFonts w:eastAsia="Calibri"/>
          <w:lang w:val="en-US"/>
        </w:rPr>
        <w:t>protiv</w:t>
      </w:r>
      <w:r w:rsidRPr="00512545">
        <w:rPr>
          <w:rFonts w:eastAsia="Calibri"/>
        </w:rPr>
        <w:t xml:space="preserve"> </w:t>
      </w:r>
      <w:r w:rsidRPr="00512545">
        <w:rPr>
          <w:rFonts w:eastAsia="Calibri"/>
          <w:lang w:val="en-US"/>
        </w:rPr>
        <w:t>Italije</w:t>
      </w:r>
      <w:r w:rsidRPr="00512545">
        <w:rPr>
          <w:rFonts w:eastAsia="Calibri"/>
        </w:rPr>
        <w:t xml:space="preserve">(1980), </w:t>
      </w:r>
      <w:r w:rsidRPr="00512545">
        <w:rPr>
          <w:rFonts w:eastAsia="Calibri"/>
          <w:lang w:val="en-US"/>
        </w:rPr>
        <w:t>Goddi</w:t>
      </w:r>
      <w:r w:rsidRPr="00512545">
        <w:rPr>
          <w:rFonts w:eastAsia="Calibri"/>
        </w:rPr>
        <w:t xml:space="preserve"> </w:t>
      </w:r>
      <w:r w:rsidRPr="00512545">
        <w:rPr>
          <w:rFonts w:eastAsia="Calibri"/>
          <w:lang w:val="en-US"/>
        </w:rPr>
        <w:t>protiv</w:t>
      </w:r>
      <w:r w:rsidRPr="00512545">
        <w:rPr>
          <w:rFonts w:eastAsia="Calibri"/>
        </w:rPr>
        <w:t xml:space="preserve"> </w:t>
      </w:r>
      <w:r w:rsidRPr="00512545">
        <w:rPr>
          <w:rFonts w:eastAsia="Calibri"/>
          <w:lang w:val="en-US"/>
        </w:rPr>
        <w:t>Italije</w:t>
      </w:r>
      <w:r w:rsidRPr="00512545">
        <w:rPr>
          <w:rFonts w:eastAsia="Calibri"/>
        </w:rPr>
        <w:t xml:space="preserve">(1984) </w:t>
      </w:r>
      <w:r w:rsidRPr="00512545">
        <w:rPr>
          <w:rFonts w:eastAsia="Calibri"/>
          <w:lang w:val="en-US"/>
        </w:rPr>
        <w:t>i</w:t>
      </w:r>
      <w:r w:rsidRPr="00512545">
        <w:rPr>
          <w:rFonts w:eastAsia="Calibri"/>
        </w:rPr>
        <w:t xml:space="preserve"> </w:t>
      </w:r>
      <w:r w:rsidRPr="00512545">
        <w:rPr>
          <w:rFonts w:eastAsia="Calibri"/>
          <w:lang w:val="en-US"/>
        </w:rPr>
        <w:t>Daud</w:t>
      </w:r>
      <w:r w:rsidRPr="00512545">
        <w:rPr>
          <w:rFonts w:eastAsia="Calibri"/>
        </w:rPr>
        <w:t xml:space="preserve"> </w:t>
      </w:r>
      <w:r w:rsidRPr="00512545">
        <w:rPr>
          <w:rFonts w:eastAsia="Calibri"/>
          <w:lang w:val="en-US"/>
        </w:rPr>
        <w:t>protiv</w:t>
      </w:r>
      <w:r w:rsidRPr="00512545">
        <w:rPr>
          <w:rFonts w:eastAsia="Calibri"/>
        </w:rPr>
        <w:t xml:space="preserve"> </w:t>
      </w:r>
      <w:r w:rsidRPr="00512545">
        <w:rPr>
          <w:rFonts w:eastAsia="Calibri"/>
          <w:lang w:val="en-US"/>
        </w:rPr>
        <w:t>Portugala</w:t>
      </w:r>
      <w:r w:rsidRPr="00512545">
        <w:rPr>
          <w:rFonts w:eastAsia="Calibri"/>
        </w:rPr>
        <w:t xml:space="preserve">(1998,). </w:t>
      </w:r>
      <w:r w:rsidRPr="00512545">
        <w:rPr>
          <w:rFonts w:eastAsia="Calibri"/>
          <w:lang w:val="en-US"/>
        </w:rPr>
        <w:t>U</w:t>
      </w:r>
      <w:r w:rsidRPr="00512545">
        <w:rPr>
          <w:rFonts w:eastAsia="Calibri"/>
        </w:rPr>
        <w:t xml:space="preserve"> </w:t>
      </w:r>
      <w:r w:rsidRPr="00512545">
        <w:rPr>
          <w:rFonts w:eastAsia="Calibri"/>
          <w:lang w:val="en-US"/>
        </w:rPr>
        <w:t>odnosu</w:t>
      </w:r>
      <w:r w:rsidRPr="00512545">
        <w:rPr>
          <w:rFonts w:eastAsia="Calibri"/>
        </w:rPr>
        <w:t xml:space="preserve"> </w:t>
      </w:r>
      <w:r w:rsidRPr="00512545">
        <w:rPr>
          <w:rFonts w:eastAsia="Calibri"/>
          <w:lang w:val="en-US"/>
        </w:rPr>
        <w:t>na</w:t>
      </w:r>
      <w:r w:rsidRPr="00512545">
        <w:rPr>
          <w:rFonts w:eastAsia="Calibri"/>
        </w:rPr>
        <w:t xml:space="preserve"> </w:t>
      </w:r>
      <w:r w:rsidRPr="00512545">
        <w:rPr>
          <w:rFonts w:eastAsia="Calibri"/>
          <w:lang w:val="en-US"/>
        </w:rPr>
        <w:t>pravo</w:t>
      </w:r>
      <w:r w:rsidRPr="00512545">
        <w:rPr>
          <w:rFonts w:eastAsia="Calibri"/>
        </w:rPr>
        <w:t xml:space="preserve"> </w:t>
      </w:r>
      <w:r w:rsidRPr="00512545">
        <w:rPr>
          <w:rFonts w:eastAsia="Calibri"/>
          <w:lang w:val="en-US"/>
        </w:rPr>
        <w:t>na</w:t>
      </w:r>
      <w:r w:rsidRPr="00512545">
        <w:rPr>
          <w:rFonts w:eastAsia="Calibri"/>
        </w:rPr>
        <w:t xml:space="preserve"> </w:t>
      </w:r>
      <w:r w:rsidRPr="00512545">
        <w:rPr>
          <w:rFonts w:eastAsia="Calibri"/>
          <w:lang w:val="en-US"/>
        </w:rPr>
        <w:t>izbor</w:t>
      </w:r>
      <w:r w:rsidRPr="00512545">
        <w:rPr>
          <w:rFonts w:eastAsia="Calibri"/>
        </w:rPr>
        <w:t xml:space="preserve"> </w:t>
      </w:r>
      <w:r w:rsidRPr="00512545">
        <w:rPr>
          <w:rFonts w:eastAsia="Calibri"/>
          <w:lang w:val="en-US"/>
        </w:rPr>
        <w:t>branitelja</w:t>
      </w:r>
      <w:proofErr w:type="gramStart"/>
      <w:r w:rsidRPr="00512545">
        <w:rPr>
          <w:rFonts w:eastAsia="Calibri"/>
        </w:rPr>
        <w:t>,</w:t>
      </w:r>
      <w:r w:rsidRPr="00512545">
        <w:rPr>
          <w:rFonts w:eastAsia="Calibri"/>
          <w:lang w:val="en-US"/>
        </w:rPr>
        <w:t>ESLJP</w:t>
      </w:r>
      <w:proofErr w:type="gramEnd"/>
      <w:r w:rsidRPr="00512545">
        <w:rPr>
          <w:rFonts w:eastAsia="Calibri"/>
        </w:rPr>
        <w:t xml:space="preserve"> </w:t>
      </w:r>
      <w:r w:rsidRPr="00512545">
        <w:rPr>
          <w:rFonts w:eastAsia="Calibri"/>
          <w:lang w:val="en-US"/>
        </w:rPr>
        <w:t>je</w:t>
      </w:r>
      <w:r w:rsidRPr="00512545">
        <w:rPr>
          <w:rFonts w:eastAsia="Calibri"/>
        </w:rPr>
        <w:t xml:space="preserve"> </w:t>
      </w:r>
      <w:r w:rsidRPr="00512545">
        <w:rPr>
          <w:rFonts w:eastAsia="Calibri"/>
          <w:lang w:val="en-US"/>
        </w:rPr>
        <w:t>zauzeo</w:t>
      </w:r>
      <w:r w:rsidRPr="00512545">
        <w:rPr>
          <w:rFonts w:eastAsia="Calibri"/>
        </w:rPr>
        <w:t xml:space="preserve"> </w:t>
      </w:r>
      <w:r w:rsidRPr="00512545">
        <w:rPr>
          <w:rFonts w:eastAsia="Calibri"/>
          <w:lang w:val="en-US"/>
        </w:rPr>
        <w:t>stav</w:t>
      </w:r>
      <w:r w:rsidRPr="00512545">
        <w:rPr>
          <w:rFonts w:eastAsia="Calibri"/>
        </w:rPr>
        <w:t xml:space="preserve"> </w:t>
      </w:r>
      <w:r w:rsidRPr="00512545">
        <w:rPr>
          <w:rFonts w:eastAsia="Calibri"/>
          <w:lang w:val="en-US"/>
        </w:rPr>
        <w:t>da</w:t>
      </w:r>
      <w:r w:rsidRPr="00512545">
        <w:rPr>
          <w:rFonts w:eastAsia="Calibri"/>
        </w:rPr>
        <w:t xml:space="preserve"> </w:t>
      </w:r>
      <w:r w:rsidRPr="00512545">
        <w:rPr>
          <w:rFonts w:eastAsia="Calibri"/>
          <w:lang w:val="en-US"/>
        </w:rPr>
        <w:t>su</w:t>
      </w:r>
      <w:r w:rsidRPr="00512545">
        <w:rPr>
          <w:rFonts w:eastAsia="Calibri"/>
        </w:rPr>
        <w:t xml:space="preserve"> </w:t>
      </w:r>
      <w:r w:rsidRPr="00512545">
        <w:rPr>
          <w:rFonts w:eastAsia="Calibri"/>
          <w:lang w:val="en-US"/>
        </w:rPr>
        <w:t>dr</w:t>
      </w:r>
      <w:r w:rsidRPr="00512545">
        <w:rPr>
          <w:rFonts w:eastAsia="Calibri"/>
        </w:rPr>
        <w:t>ž</w:t>
      </w:r>
      <w:r w:rsidRPr="00512545">
        <w:rPr>
          <w:rFonts w:eastAsia="Calibri"/>
          <w:lang w:val="en-US"/>
        </w:rPr>
        <w:t>ave</w:t>
      </w:r>
      <w:r w:rsidRPr="00512545">
        <w:rPr>
          <w:rFonts w:eastAsia="Calibri"/>
        </w:rPr>
        <w:t xml:space="preserve"> </w:t>
      </w:r>
      <w:r w:rsidRPr="00512545">
        <w:rPr>
          <w:rFonts w:eastAsia="Calibri"/>
          <w:lang w:val="en-US"/>
        </w:rPr>
        <w:t>ovla</w:t>
      </w:r>
      <w:r w:rsidRPr="00512545">
        <w:rPr>
          <w:rFonts w:eastAsia="Calibri"/>
        </w:rPr>
        <w:t>šć</w:t>
      </w:r>
      <w:r w:rsidRPr="00512545">
        <w:rPr>
          <w:rFonts w:eastAsia="Calibri"/>
          <w:lang w:val="en-US"/>
        </w:rPr>
        <w:t>ene</w:t>
      </w:r>
      <w:r w:rsidRPr="00512545">
        <w:rPr>
          <w:rFonts w:eastAsia="Calibri"/>
        </w:rPr>
        <w:t xml:space="preserve"> </w:t>
      </w:r>
      <w:r w:rsidRPr="00512545">
        <w:rPr>
          <w:rFonts w:eastAsia="Calibri"/>
          <w:lang w:val="en-US"/>
        </w:rPr>
        <w:t>organizovati</w:t>
      </w:r>
      <w:r w:rsidRPr="00512545">
        <w:rPr>
          <w:rFonts w:eastAsia="Calibri"/>
        </w:rPr>
        <w:t xml:space="preserve"> </w:t>
      </w:r>
      <w:r w:rsidRPr="00512545">
        <w:rPr>
          <w:rFonts w:eastAsia="Calibri"/>
          <w:lang w:val="en-US"/>
        </w:rPr>
        <w:t>posebnu</w:t>
      </w:r>
      <w:r w:rsidRPr="00512545">
        <w:rPr>
          <w:rFonts w:eastAsia="Calibri"/>
        </w:rPr>
        <w:t xml:space="preserve"> </w:t>
      </w:r>
      <w:r w:rsidRPr="00512545">
        <w:rPr>
          <w:rFonts w:eastAsia="Calibri"/>
          <w:lang w:val="en-US"/>
        </w:rPr>
        <w:t>pravnu</w:t>
      </w:r>
      <w:r w:rsidRPr="00512545">
        <w:rPr>
          <w:rFonts w:eastAsia="Calibri"/>
        </w:rPr>
        <w:t xml:space="preserve"> </w:t>
      </w:r>
      <w:r w:rsidRPr="00512545">
        <w:rPr>
          <w:rFonts w:eastAsia="Calibri"/>
          <w:lang w:val="en-US"/>
        </w:rPr>
        <w:t>pomo</w:t>
      </w:r>
      <w:r w:rsidRPr="00512545">
        <w:rPr>
          <w:rFonts w:eastAsia="Calibri"/>
        </w:rPr>
        <w:t xml:space="preserve">ć </w:t>
      </w:r>
      <w:r w:rsidRPr="00512545">
        <w:rPr>
          <w:rFonts w:eastAsia="Calibri"/>
          <w:lang w:val="en-US"/>
        </w:rPr>
        <w:t>ili</w:t>
      </w:r>
      <w:r w:rsidRPr="00512545">
        <w:rPr>
          <w:rFonts w:eastAsia="Calibri"/>
        </w:rPr>
        <w:t xml:space="preserve"> </w:t>
      </w:r>
      <w:r w:rsidRPr="00512545">
        <w:rPr>
          <w:rFonts w:eastAsia="Calibri"/>
          <w:lang w:val="en-US"/>
        </w:rPr>
        <w:t>odrediti</w:t>
      </w:r>
      <w:r w:rsidRPr="00512545">
        <w:rPr>
          <w:rFonts w:eastAsia="Calibri"/>
        </w:rPr>
        <w:t xml:space="preserve"> </w:t>
      </w:r>
      <w:r w:rsidRPr="00512545">
        <w:rPr>
          <w:rFonts w:eastAsia="Calibri"/>
          <w:lang w:val="en-US"/>
        </w:rPr>
        <w:t>ovla</w:t>
      </w:r>
      <w:r w:rsidRPr="00512545">
        <w:rPr>
          <w:rFonts w:eastAsia="Calibri"/>
        </w:rPr>
        <w:t>šć</w:t>
      </w:r>
      <w:r w:rsidRPr="00512545">
        <w:rPr>
          <w:rFonts w:eastAsia="Calibri"/>
          <w:lang w:val="en-US"/>
        </w:rPr>
        <w:t>ene</w:t>
      </w:r>
      <w:r w:rsidRPr="00512545">
        <w:rPr>
          <w:rFonts w:eastAsia="Calibri"/>
        </w:rPr>
        <w:t xml:space="preserve"> </w:t>
      </w:r>
      <w:r w:rsidRPr="00512545">
        <w:rPr>
          <w:rFonts w:eastAsia="Calibri"/>
          <w:lang w:val="en-US"/>
        </w:rPr>
        <w:t>branioce</w:t>
      </w:r>
      <w:r w:rsidRPr="00512545">
        <w:rPr>
          <w:rFonts w:eastAsia="Calibri"/>
        </w:rPr>
        <w:t xml:space="preserve"> </w:t>
      </w:r>
      <w:r w:rsidRPr="00512545">
        <w:rPr>
          <w:rFonts w:eastAsia="Calibri"/>
          <w:lang w:val="en-US"/>
        </w:rPr>
        <w:t>za</w:t>
      </w:r>
      <w:r w:rsidRPr="00512545">
        <w:rPr>
          <w:rFonts w:eastAsia="Calibri"/>
        </w:rPr>
        <w:t xml:space="preserve"> </w:t>
      </w:r>
      <w:r w:rsidRPr="00512545">
        <w:rPr>
          <w:rFonts w:eastAsia="Calibri"/>
          <w:lang w:val="en-US"/>
        </w:rPr>
        <w:lastRenderedPageBreak/>
        <w:t>zstupanje</w:t>
      </w:r>
      <w:r w:rsidRPr="00512545">
        <w:rPr>
          <w:rFonts w:eastAsia="Calibri"/>
        </w:rPr>
        <w:t xml:space="preserve"> </w:t>
      </w:r>
      <w:r w:rsidRPr="00512545">
        <w:rPr>
          <w:rFonts w:eastAsia="Calibri"/>
          <w:lang w:val="en-US"/>
        </w:rPr>
        <w:t>stranke</w:t>
      </w:r>
      <w:r w:rsidRPr="00512545">
        <w:rPr>
          <w:rFonts w:eastAsia="Calibri"/>
        </w:rPr>
        <w:t xml:space="preserve"> </w:t>
      </w:r>
      <w:r w:rsidRPr="00512545">
        <w:rPr>
          <w:rFonts w:eastAsia="Calibri"/>
          <w:lang w:val="en-US"/>
        </w:rPr>
        <w:t>pred</w:t>
      </w:r>
      <w:r w:rsidRPr="00512545">
        <w:rPr>
          <w:rFonts w:eastAsia="Calibri"/>
        </w:rPr>
        <w:t xml:space="preserve"> </w:t>
      </w:r>
      <w:r w:rsidRPr="00512545">
        <w:rPr>
          <w:rFonts w:eastAsia="Calibri"/>
          <w:lang w:val="en-US"/>
        </w:rPr>
        <w:t>pojedinim</w:t>
      </w:r>
      <w:r w:rsidRPr="00512545">
        <w:rPr>
          <w:rFonts w:eastAsia="Calibri"/>
        </w:rPr>
        <w:t xml:space="preserve"> </w:t>
      </w:r>
      <w:r w:rsidRPr="00512545">
        <w:rPr>
          <w:rFonts w:eastAsia="Calibri"/>
          <w:lang w:val="en-US"/>
        </w:rPr>
        <w:t>sudovima</w:t>
      </w:r>
      <w:r w:rsidRPr="00512545">
        <w:rPr>
          <w:rFonts w:eastAsia="Calibri"/>
        </w:rPr>
        <w:t xml:space="preserve">, </w:t>
      </w:r>
      <w:r w:rsidRPr="00512545">
        <w:rPr>
          <w:rFonts w:eastAsia="Calibri"/>
          <w:lang w:val="en-US"/>
        </w:rPr>
        <w:t>a</w:t>
      </w:r>
      <w:r w:rsidRPr="00512545">
        <w:rPr>
          <w:rFonts w:eastAsia="Calibri"/>
        </w:rPr>
        <w:t xml:space="preserve"> </w:t>
      </w:r>
      <w:r w:rsidRPr="00512545">
        <w:rPr>
          <w:rFonts w:eastAsia="Calibri"/>
          <w:lang w:val="en-US"/>
        </w:rPr>
        <w:t>da</w:t>
      </w:r>
      <w:r w:rsidRPr="00512545">
        <w:rPr>
          <w:rFonts w:eastAsia="Calibri"/>
        </w:rPr>
        <w:t xml:space="preserve"> </w:t>
      </w:r>
      <w:r w:rsidRPr="00512545">
        <w:rPr>
          <w:rFonts w:eastAsia="Calibri"/>
          <w:lang w:val="en-US"/>
        </w:rPr>
        <w:t>ne</w:t>
      </w:r>
      <w:r w:rsidRPr="00512545">
        <w:rPr>
          <w:rFonts w:eastAsia="Calibri"/>
        </w:rPr>
        <w:t xml:space="preserve"> </w:t>
      </w:r>
      <w:r w:rsidRPr="00512545">
        <w:rPr>
          <w:rFonts w:eastAsia="Calibri"/>
          <w:lang w:val="en-US"/>
        </w:rPr>
        <w:t>povrede</w:t>
      </w:r>
      <w:r w:rsidRPr="00512545">
        <w:rPr>
          <w:rFonts w:eastAsia="Calibri"/>
        </w:rPr>
        <w:t xml:space="preserve"> </w:t>
      </w:r>
      <w:r w:rsidRPr="00512545">
        <w:rPr>
          <w:rFonts w:eastAsia="Calibri"/>
          <w:lang w:val="en-US"/>
        </w:rPr>
        <w:t>odredbu</w:t>
      </w:r>
      <w:r w:rsidRPr="00512545">
        <w:rPr>
          <w:rFonts w:eastAsia="Calibri"/>
        </w:rPr>
        <w:t xml:space="preserve"> č</w:t>
      </w:r>
      <w:r w:rsidRPr="00512545">
        <w:rPr>
          <w:rFonts w:eastAsia="Calibri"/>
          <w:lang w:val="en-US"/>
        </w:rPr>
        <w:t>lana</w:t>
      </w:r>
      <w:r w:rsidRPr="00512545">
        <w:rPr>
          <w:rFonts w:eastAsia="Calibri"/>
        </w:rPr>
        <w:t xml:space="preserve"> 6 </w:t>
      </w:r>
      <w:r w:rsidRPr="00512545">
        <w:rPr>
          <w:rFonts w:eastAsia="Calibri"/>
          <w:lang w:val="en-US"/>
        </w:rPr>
        <w:t>Konvencije</w:t>
      </w:r>
      <w:r w:rsidRPr="00512545">
        <w:rPr>
          <w:rFonts w:eastAsia="Calibri"/>
        </w:rPr>
        <w:t xml:space="preserve"> (</w:t>
      </w:r>
      <w:r w:rsidRPr="00512545">
        <w:rPr>
          <w:rFonts w:eastAsia="Calibri"/>
          <w:lang w:val="en-US"/>
        </w:rPr>
        <w:t>Reinhartd</w:t>
      </w:r>
      <w:r w:rsidRPr="00512545">
        <w:rPr>
          <w:rFonts w:eastAsia="Calibri"/>
        </w:rPr>
        <w:t xml:space="preserve"> </w:t>
      </w:r>
      <w:r w:rsidRPr="00512545">
        <w:rPr>
          <w:rFonts w:eastAsia="Calibri"/>
          <w:lang w:val="en-US"/>
        </w:rPr>
        <w:t>i</w:t>
      </w:r>
      <w:r w:rsidRPr="00512545">
        <w:rPr>
          <w:rFonts w:eastAsia="Calibri"/>
        </w:rPr>
        <w:t xml:space="preserve"> </w:t>
      </w:r>
      <w:r w:rsidRPr="00512545">
        <w:rPr>
          <w:rFonts w:eastAsia="Calibri"/>
          <w:lang w:val="en-US"/>
        </w:rPr>
        <w:t>Salimane</w:t>
      </w:r>
      <w:r w:rsidRPr="00512545">
        <w:rPr>
          <w:rFonts w:eastAsia="Calibri"/>
        </w:rPr>
        <w:t xml:space="preserve"> – </w:t>
      </w:r>
      <w:r w:rsidRPr="00512545">
        <w:rPr>
          <w:rFonts w:eastAsia="Calibri"/>
          <w:lang w:val="en-US"/>
        </w:rPr>
        <w:t>Kaid</w:t>
      </w:r>
      <w:r w:rsidRPr="00512545">
        <w:rPr>
          <w:rFonts w:eastAsia="Calibri"/>
        </w:rPr>
        <w:t xml:space="preserve"> </w:t>
      </w:r>
      <w:r w:rsidRPr="00512545">
        <w:rPr>
          <w:rFonts w:eastAsia="Calibri"/>
          <w:lang w:val="en-US"/>
        </w:rPr>
        <w:t>protiv</w:t>
      </w:r>
      <w:r w:rsidRPr="00512545">
        <w:rPr>
          <w:rFonts w:eastAsia="Calibri"/>
        </w:rPr>
        <w:t xml:space="preserve"> </w:t>
      </w:r>
      <w:r w:rsidRPr="00512545">
        <w:rPr>
          <w:rFonts w:eastAsia="Calibri"/>
          <w:lang w:val="en-US"/>
        </w:rPr>
        <w:t>Francuske</w:t>
      </w:r>
      <w:r w:rsidRPr="00512545">
        <w:rPr>
          <w:rFonts w:eastAsia="Calibri"/>
        </w:rPr>
        <w:t xml:space="preserve"> (1998.) </w:t>
      </w:r>
      <w:r w:rsidRPr="00512545">
        <w:rPr>
          <w:rFonts w:eastAsia="Calibri"/>
          <w:lang w:val="en-US"/>
        </w:rPr>
        <w:t>i</w:t>
      </w:r>
      <w:r w:rsidRPr="00512545">
        <w:rPr>
          <w:rFonts w:eastAsia="Calibri"/>
        </w:rPr>
        <w:t xml:space="preserve"> </w:t>
      </w:r>
      <w:r w:rsidRPr="00512545">
        <w:rPr>
          <w:rFonts w:eastAsia="Calibri"/>
          <w:lang w:val="en-US"/>
        </w:rPr>
        <w:t>Meftah</w:t>
      </w:r>
      <w:r w:rsidRPr="00512545">
        <w:rPr>
          <w:rFonts w:eastAsia="Calibri"/>
        </w:rPr>
        <w:t xml:space="preserve"> </w:t>
      </w:r>
      <w:r w:rsidRPr="00512545">
        <w:rPr>
          <w:rFonts w:eastAsia="Calibri"/>
          <w:lang w:val="en-US"/>
        </w:rPr>
        <w:t>i</w:t>
      </w:r>
      <w:r w:rsidRPr="00512545">
        <w:rPr>
          <w:rFonts w:eastAsia="Calibri"/>
        </w:rPr>
        <w:t xml:space="preserve"> </w:t>
      </w:r>
      <w:r w:rsidRPr="00512545">
        <w:rPr>
          <w:rFonts w:eastAsia="Calibri"/>
          <w:lang w:val="en-US"/>
        </w:rPr>
        <w:t>dr</w:t>
      </w:r>
      <w:r w:rsidRPr="00512545">
        <w:rPr>
          <w:rFonts w:eastAsia="Calibri"/>
        </w:rPr>
        <w:t>.</w:t>
      </w:r>
      <w:r w:rsidRPr="00512545">
        <w:rPr>
          <w:rFonts w:eastAsia="Calibri"/>
          <w:lang w:val="en-US"/>
        </w:rPr>
        <w:t>protiv</w:t>
      </w:r>
      <w:r w:rsidRPr="00512545">
        <w:rPr>
          <w:rFonts w:eastAsia="Calibri"/>
        </w:rPr>
        <w:t xml:space="preserve"> </w:t>
      </w:r>
      <w:r w:rsidRPr="00512545">
        <w:rPr>
          <w:rFonts w:eastAsia="Calibri"/>
          <w:lang w:val="en-US"/>
        </w:rPr>
        <w:t>Francuske</w:t>
      </w:r>
      <w:r w:rsidRPr="00512545">
        <w:rPr>
          <w:rFonts w:eastAsia="Calibri"/>
        </w:rPr>
        <w:t xml:space="preserve"> (2002.)). </w:t>
      </w:r>
    </w:p>
    <w:p w:rsidR="007715E0" w:rsidRPr="00512545" w:rsidRDefault="007715E0" w:rsidP="007715E0">
      <w:pPr>
        <w:jc w:val="both"/>
        <w:rPr>
          <w:rFonts w:eastAsia="Calibri"/>
          <w:lang w:val="sr-Latn-ME"/>
        </w:rPr>
      </w:pPr>
      <w:r w:rsidRPr="00512545">
        <w:rPr>
          <w:rFonts w:eastAsia="Calibri"/>
          <w:lang w:val="sr-Latn-ME"/>
        </w:rPr>
        <w:t xml:space="preserve">U predmetu  </w:t>
      </w:r>
      <w:r w:rsidRPr="00512545">
        <w:rPr>
          <w:rFonts w:eastAsia="Calibri"/>
          <w:i/>
          <w:lang w:val="sr-Latn-ME"/>
        </w:rPr>
        <w:t xml:space="preserve">Artiko protiv Italije, </w:t>
      </w:r>
      <w:r w:rsidRPr="00512545">
        <w:rPr>
          <w:rFonts w:eastAsia="Calibri"/>
          <w:lang w:val="sr-Latn-ME"/>
        </w:rPr>
        <w:t xml:space="preserve"> ESLJP podsjeća da namjera Konvencije nije da garantuje prava koja su teroijska ili iluzorna nego koja su praktična i djelotvorna; ovo se posebno tiče prava na odbranu u smislu značajnog mjesta koje pravo na pravično suđenje ima u demokratskom svijetu. Dakle, član 6 st.3 (c) se ne odnosi na „imenovanje“,već  na „pomoć“. Samo imenovanje ne osigurava uspješnu pomoć jer branitelj koji je postavljen za svrhu pružanja pravne pomoći može umrijeti, može se ozbiljno razboljeti, biti spriječen da djeluje duže vrijeme, ili izbjegavati svoje obaveze</w:t>
      </w:r>
      <w:r w:rsidRPr="00512545">
        <w:rPr>
          <w:rFonts w:eastAsia="Calibri"/>
          <w:vertAlign w:val="superscript"/>
          <w:lang w:val="sr-Latn-ME"/>
        </w:rPr>
        <w:footnoteReference w:id="15"/>
      </w:r>
      <w:r w:rsidRPr="00512545">
        <w:rPr>
          <w:rFonts w:eastAsia="Calibri"/>
          <w:lang w:val="sr-Latn-ME"/>
        </w:rPr>
        <w:t>.</w:t>
      </w:r>
    </w:p>
    <w:p w:rsidR="007715E0" w:rsidRPr="00512545" w:rsidRDefault="007715E0" w:rsidP="007715E0">
      <w:pPr>
        <w:autoSpaceDE w:val="0"/>
        <w:autoSpaceDN w:val="0"/>
        <w:adjustRightInd w:val="0"/>
        <w:jc w:val="both"/>
        <w:rPr>
          <w:lang w:eastAsia="sr-Latn-CS"/>
        </w:rPr>
      </w:pPr>
      <w:r w:rsidRPr="00512545">
        <w:t xml:space="preserve">ESLJP je u predmetu </w:t>
      </w:r>
      <w:r w:rsidRPr="00512545">
        <w:rPr>
          <w:i/>
          <w:iCs/>
        </w:rPr>
        <w:t xml:space="preserve">Kamasinski protiv Austrije </w:t>
      </w:r>
      <w:r w:rsidRPr="00512545">
        <w:rPr>
          <w:iCs/>
        </w:rPr>
        <w:t>(presuda od 19. decembra 1989. godine) smatrao</w:t>
      </w:r>
      <w:r w:rsidRPr="00512545">
        <w:rPr>
          <w:i/>
          <w:iCs/>
        </w:rPr>
        <w:t xml:space="preserve"> </w:t>
      </w:r>
      <w:r w:rsidRPr="00512545">
        <w:rPr>
          <w:iCs/>
        </w:rPr>
        <w:t>da se od nadležnih organa zahtijeva da, u skladu sa članom 6 (3) c, intervenišu ukoliko je neuspjeh pravne pomoći branioca očigledan ili ukoliko je na drugi način ova pravna pomoć dovedena u pitanje.</w:t>
      </w:r>
      <w:r>
        <w:rPr>
          <w:iCs/>
        </w:rPr>
        <w:t xml:space="preserve"> </w:t>
      </w:r>
    </w:p>
    <w:p w:rsidR="007715E0" w:rsidRPr="00512545" w:rsidRDefault="007715E0" w:rsidP="007715E0"/>
    <w:p w:rsidR="007715E0" w:rsidRDefault="007715E0" w:rsidP="007715E0">
      <w:pPr>
        <w:jc w:val="both"/>
        <w:rPr>
          <w:rFonts w:eastAsia="Calibri"/>
          <w:b/>
          <w:lang w:val="sr-Latn-RS"/>
        </w:rPr>
      </w:pPr>
      <w:r>
        <w:rPr>
          <w:rFonts w:eastAsia="Calibri"/>
          <w:b/>
          <w:lang w:val="sr-Latn-RS"/>
        </w:rPr>
        <w:t>4. Uočena praksa</w:t>
      </w:r>
    </w:p>
    <w:p w:rsidR="007715E0" w:rsidRPr="00512545" w:rsidRDefault="007715E0" w:rsidP="007715E0">
      <w:pPr>
        <w:jc w:val="both"/>
        <w:rPr>
          <w:rFonts w:eastAsia="Calibri"/>
          <w:b/>
          <w:lang w:val="sr-Latn-RS"/>
        </w:rPr>
      </w:pPr>
      <w:r>
        <w:rPr>
          <w:rFonts w:eastAsia="Calibri"/>
          <w:b/>
          <w:lang w:val="sr-Latn-RS"/>
        </w:rPr>
        <w:t xml:space="preserve">    4.1. </w:t>
      </w:r>
      <w:r w:rsidRPr="00512545">
        <w:rPr>
          <w:rFonts w:eastAsia="Calibri"/>
          <w:b/>
          <w:lang w:val="sr-Latn-RS"/>
        </w:rPr>
        <w:t>Procedura postavljanja branilaca po službenoj dužnosti</w:t>
      </w:r>
    </w:p>
    <w:p w:rsidR="007715E0" w:rsidRDefault="007715E0" w:rsidP="007715E0">
      <w:pPr>
        <w:jc w:val="both"/>
        <w:rPr>
          <w:rFonts w:eastAsia="Calibri"/>
          <w:lang w:val="sr-Latn-ME"/>
        </w:rPr>
      </w:pPr>
    </w:p>
    <w:p w:rsidR="007715E0" w:rsidRDefault="007715E0" w:rsidP="007715E0">
      <w:pPr>
        <w:jc w:val="both"/>
      </w:pPr>
      <w:r>
        <w:t>Analiza prakse postavljanja branilaca po službenoj dužnosti u sudovima i državnim tužilaštvima Crne Gore</w:t>
      </w:r>
      <w:proofErr w:type="gramStart"/>
      <w:r>
        <w:t>,  izrađena</w:t>
      </w:r>
      <w:proofErr w:type="gramEnd"/>
      <w:r>
        <w:t xml:space="preserve"> je na osnovu podataka koju su  (na zahtjev o slobodnom pristupu informacijama)  dostavljeni Centru za monitoring i istraživanje, u periodu od decembra 2016. </w:t>
      </w:r>
      <w:proofErr w:type="gramStart"/>
      <w:r>
        <w:t>do</w:t>
      </w:r>
      <w:proofErr w:type="gramEnd"/>
      <w:r>
        <w:t xml:space="preserve"> kraja januara 2017.godine. </w:t>
      </w:r>
    </w:p>
    <w:p w:rsidR="007715E0" w:rsidRDefault="007715E0" w:rsidP="007715E0">
      <w:pPr>
        <w:jc w:val="both"/>
        <w:rPr>
          <w:rFonts w:eastAsia="Calibri"/>
          <w:color w:val="FF0000"/>
          <w:lang w:val="sr-Latn-ME"/>
        </w:rPr>
      </w:pPr>
      <w:r>
        <w:rPr>
          <w:rFonts w:eastAsia="Calibri"/>
          <w:lang w:val="sr-Latn-ME"/>
        </w:rPr>
        <w:t xml:space="preserve">Postupajući po zahtjevima </w:t>
      </w:r>
      <w:r w:rsidRPr="00512545">
        <w:rPr>
          <w:rFonts w:eastAsia="Calibri"/>
          <w:lang w:val="sr-Latn-ME"/>
        </w:rPr>
        <w:t>za slobodan pristup informacijama, svi sudovi i državna tužilaštva</w:t>
      </w:r>
      <w:r>
        <w:rPr>
          <w:rFonts w:eastAsia="Calibri"/>
          <w:lang w:val="sr-Latn-ME"/>
        </w:rPr>
        <w:t>, osim Osnovnog suda u Podgorici i Osnovnog suda u Cetinju, Višeg državnog tužilaštva u Podgorici i Osnovnog državnog tužilaštva u Podgorici i Baru, kao i Specijalnog državnog tužilaštva</w:t>
      </w:r>
      <w:r>
        <w:rPr>
          <w:rStyle w:val="FootnoteReference"/>
          <w:rFonts w:eastAsia="Calibri"/>
          <w:lang w:val="sr-Latn-ME"/>
        </w:rPr>
        <w:footnoteReference w:id="16"/>
      </w:r>
      <w:r>
        <w:rPr>
          <w:rFonts w:eastAsia="Calibri"/>
          <w:lang w:val="sr-Latn-ME"/>
        </w:rPr>
        <w:t>,</w:t>
      </w:r>
      <w:r w:rsidRPr="00512545">
        <w:rPr>
          <w:rFonts w:eastAsia="Calibri"/>
          <w:lang w:val="sr-Latn-ME"/>
        </w:rPr>
        <w:t xml:space="preserve"> dostavili </w:t>
      </w:r>
      <w:r>
        <w:rPr>
          <w:rFonts w:eastAsia="Calibri"/>
          <w:lang w:val="sr-Latn-ME"/>
        </w:rPr>
        <w:t xml:space="preserve">su </w:t>
      </w:r>
      <w:r w:rsidRPr="00512545">
        <w:rPr>
          <w:rFonts w:eastAsia="Calibri"/>
          <w:lang w:val="sr-Latn-ME"/>
        </w:rPr>
        <w:t xml:space="preserve">informacije </w:t>
      </w:r>
      <w:r>
        <w:rPr>
          <w:rFonts w:eastAsia="Calibri"/>
          <w:lang w:val="sr-Latn-ME"/>
        </w:rPr>
        <w:t>o svim rješenjima o postavljenjima branilaca po službenoj dužnosti</w:t>
      </w:r>
      <w:r w:rsidRPr="00512545">
        <w:rPr>
          <w:rFonts w:eastAsia="Calibri"/>
          <w:lang w:val="sr-Latn-ME"/>
        </w:rPr>
        <w:t xml:space="preserve">, sa navođenjem imena i prezimena advokata, iznosa koji im je dodijeljen na ime nagrade po službenoj dužnosti, kao i ukupnim iznosima po svakom  sudu i državnom tužilaštvu koji je </w:t>
      </w:r>
      <w:r>
        <w:rPr>
          <w:rFonts w:eastAsia="Calibri"/>
          <w:lang w:val="sr-Latn-ME"/>
        </w:rPr>
        <w:t xml:space="preserve">isplaćen </w:t>
      </w:r>
      <w:r w:rsidRPr="00512545">
        <w:rPr>
          <w:rFonts w:eastAsia="Calibri"/>
          <w:lang w:val="sr-Latn-ME"/>
        </w:rPr>
        <w:t>u ove svrhe</w:t>
      </w:r>
      <w:r>
        <w:rPr>
          <w:rFonts w:eastAsia="Calibri"/>
          <w:lang w:val="sr-Latn-ME"/>
        </w:rPr>
        <w:t>.</w:t>
      </w:r>
      <w:r w:rsidRPr="00512545">
        <w:rPr>
          <w:rFonts w:eastAsia="Calibri"/>
          <w:lang w:val="sr-Latn-ME"/>
        </w:rPr>
        <w:t xml:space="preserve"> </w:t>
      </w:r>
      <w:r>
        <w:rPr>
          <w:rFonts w:eastAsia="Calibri"/>
          <w:lang w:val="sr-Latn-ME"/>
        </w:rPr>
        <w:t xml:space="preserve">Zahtjev iste sadržine upućen je i Sekretarijatu Sudskog savjeta, koji je takođe </w:t>
      </w:r>
      <w:r w:rsidRPr="00007E4B">
        <w:rPr>
          <w:rFonts w:eastAsia="Calibri"/>
          <w:lang w:val="sr-Latn-ME"/>
        </w:rPr>
        <w:t>dostavio tražene podatke</w:t>
      </w:r>
      <w:r>
        <w:rPr>
          <w:rFonts w:eastAsia="Calibri"/>
          <w:color w:val="FF0000"/>
          <w:lang w:val="sr-Latn-ME"/>
        </w:rPr>
        <w:t xml:space="preserve">. </w:t>
      </w:r>
    </w:p>
    <w:p w:rsidR="007715E0" w:rsidRDefault="007715E0" w:rsidP="007715E0">
      <w:pPr>
        <w:jc w:val="both"/>
        <w:rPr>
          <w:rFonts w:eastAsia="Calibri"/>
          <w:lang w:val="sr-Latn-ME"/>
        </w:rPr>
      </w:pPr>
      <w:r>
        <w:rPr>
          <w:rFonts w:eastAsia="Calibri"/>
          <w:lang w:val="sr-Latn-ME"/>
        </w:rPr>
        <w:t>Osnovni sud u Podgorici je rješenjem Su V br. 5/16 – 29 dozvolio zahtjev za slobodan pristup informacijama u dijelu kojim se daje informacija da je tokom 2015. godine bilo postavljeno ukupno 279 branilaca po službenoj dužnosti, dok je tokom 2016. godine njih ukupno 281 bilo postavljeno za zastupanje klijenata po službenoj dužnosti. Ovaj sud je odbio zahtjev za pristup informaciji u dijelu kojim je traženo da se dostavi informacija o troškovima za postavljenje branilaca po službenoj dužnosti sa navođenjem imena i prezimena, kao i iznosa isplaćene nagrade po svakom advokatu piojedinačno. Naime, ovaj sud vodi evidenciju o braniocima po službenoj dužnosti, i u mogućnosti je da dostavi informacije o ukupnom broju rješenja o postavljenju, a ostale vrste evidencija o ovim pitanjima ne postoje, i to bi za Osnovni sud u Podgorici predstavljalo sačinjavanje nove informacije, te je po tom osnovu ovaj dio zahtjeva odbijen, kako se navodi u obra</w:t>
      </w:r>
      <w:r>
        <w:rPr>
          <w:rFonts w:eastAsia="Calibri"/>
          <w:lang w:val="sr-Latn-RS"/>
        </w:rPr>
        <w:t>zloženju ovog rješenja.</w:t>
      </w:r>
      <w:r>
        <w:rPr>
          <w:rFonts w:eastAsia="Calibri"/>
          <w:lang w:val="sr-Latn-ME"/>
        </w:rPr>
        <w:t xml:space="preserve">  </w:t>
      </w:r>
    </w:p>
    <w:p w:rsidR="007715E0" w:rsidRDefault="007715E0" w:rsidP="007715E0">
      <w:pPr>
        <w:jc w:val="both"/>
      </w:pPr>
      <w:r w:rsidRPr="0065428B">
        <w:rPr>
          <w:rFonts w:eastAsia="Calibri"/>
          <w:lang w:val="sr-Latn-ME"/>
        </w:rPr>
        <w:lastRenderedPageBreak/>
        <w:t>Rješenjem Osnovnog suda u Cetinju</w:t>
      </w:r>
      <w:r w:rsidRPr="0065428B">
        <w:t xml:space="preserve"> posl.br. Su.V. 461/16</w:t>
      </w:r>
      <w:r w:rsidRPr="0065428B">
        <w:rPr>
          <w:rFonts w:eastAsia="Calibri"/>
          <w:lang w:val="sr-Latn-ME"/>
        </w:rPr>
        <w:t>, dozvoljava</w:t>
      </w:r>
      <w:r>
        <w:rPr>
          <w:rFonts w:eastAsia="Calibri"/>
          <w:lang w:val="sr-Latn-ME"/>
        </w:rPr>
        <w:t xml:space="preserve"> se</w:t>
      </w:r>
      <w:r w:rsidRPr="0065428B">
        <w:rPr>
          <w:rFonts w:eastAsia="Calibri"/>
          <w:lang w:val="sr-Latn-ME"/>
        </w:rPr>
        <w:t xml:space="preserve"> pristup </w:t>
      </w:r>
      <w:proofErr w:type="gramStart"/>
      <w:r w:rsidRPr="0065428B">
        <w:rPr>
          <w:rFonts w:eastAsia="Calibri"/>
          <w:lang w:val="sr-Latn-ME"/>
        </w:rPr>
        <w:t>informacijama  u</w:t>
      </w:r>
      <w:proofErr w:type="gramEnd"/>
      <w:r w:rsidRPr="0065428B">
        <w:rPr>
          <w:rFonts w:eastAsia="Calibri"/>
          <w:lang w:val="sr-Latn-ME"/>
        </w:rPr>
        <w:t xml:space="preserve"> posjedu Osnovnog suda u Cetinju, i daje se informacija da je tokom 2015. godine postavljeno ukupno 11 branilaca po službenoj dužnosti, dok je tokom 2016. godine postavljeno ukupno 4 branioca po službenoj dužnosti. </w:t>
      </w:r>
      <w:r w:rsidRPr="0065428B">
        <w:rPr>
          <w:lang w:val="sr-Latn-ME"/>
        </w:rPr>
        <w:t xml:space="preserve">U odnosu na dio zahtjeva kojim je traženo dostavljanje informacije o </w:t>
      </w:r>
      <w:r w:rsidRPr="0065428B">
        <w:t>troškovima za postavljanje branilaca po službenoj dužnosti sa navođenjem</w:t>
      </w:r>
      <w:r>
        <w:rPr>
          <w:lang w:val="sr-Latn-ME"/>
        </w:rPr>
        <w:t xml:space="preserve"> imena i prezimena </w:t>
      </w:r>
      <w:r w:rsidRPr="0065428B">
        <w:rPr>
          <w:lang w:val="sr-Latn-ME"/>
        </w:rPr>
        <w:t>advokata</w:t>
      </w:r>
      <w:r>
        <w:rPr>
          <w:lang w:val="sr-Latn-ME"/>
        </w:rPr>
        <w:t>,</w:t>
      </w:r>
      <w:r w:rsidRPr="0065428B">
        <w:rPr>
          <w:lang w:val="sr-Latn-ME"/>
        </w:rPr>
        <w:t xml:space="preserve"> kao i iznosa isplaćene nagrade za </w:t>
      </w:r>
      <w:r w:rsidRPr="0065428B">
        <w:t xml:space="preserve">period od 01.01.2015. </w:t>
      </w:r>
      <w:proofErr w:type="gramStart"/>
      <w:r w:rsidRPr="0065428B">
        <w:t>godine</w:t>
      </w:r>
      <w:proofErr w:type="gramEnd"/>
      <w:r w:rsidRPr="0065428B">
        <w:t xml:space="preserve"> do 31.12.2015. </w:t>
      </w:r>
      <w:proofErr w:type="gramStart"/>
      <w:r w:rsidRPr="0065428B">
        <w:t>godine</w:t>
      </w:r>
      <w:proofErr w:type="gramEnd"/>
      <w:r w:rsidRPr="0065428B">
        <w:t xml:space="preserve"> i period od 01.01.2016. </w:t>
      </w:r>
      <w:proofErr w:type="gramStart"/>
      <w:r w:rsidRPr="0065428B">
        <w:t>godine</w:t>
      </w:r>
      <w:proofErr w:type="gramEnd"/>
      <w:r w:rsidRPr="0065428B">
        <w:t xml:space="preserve"> do 31.12.2016. </w:t>
      </w:r>
      <w:proofErr w:type="gramStart"/>
      <w:r w:rsidRPr="0065428B">
        <w:t>godine</w:t>
      </w:r>
      <w:proofErr w:type="gramEnd"/>
      <w:r w:rsidRPr="0065428B">
        <w:t xml:space="preserve">, Osnovni sud u Cetinju navodi da nije u posjedu tražene informacije jer se ne vodi posebna evidencija o tome koliko je pojedinačno dosuđeno i isplaćeno sredstava postavljenim braniocima već se do tog podatka može doći samo pregledom pojedinačnih krivičnih predmeta, što bi značilo sačinjavanje nove informacije.  </w:t>
      </w:r>
    </w:p>
    <w:p w:rsidR="007715E0" w:rsidRDefault="007715E0" w:rsidP="007715E0">
      <w:pPr>
        <w:jc w:val="both"/>
        <w:rPr>
          <w:rFonts w:eastAsia="Calibri"/>
          <w:lang w:val="sr-Latn-ME"/>
        </w:rPr>
      </w:pPr>
      <w:r>
        <w:rPr>
          <w:rFonts w:eastAsia="Calibri"/>
          <w:lang w:val="sr-Latn-ME"/>
        </w:rPr>
        <w:t xml:space="preserve">Osnovno državno tužilaštvo u Podgorici  je rješenjem broj TUSPI 21/16 dozvolilo pristup informacijama u dijelu koji se odnosi na broj donesenih rješenja o postavljenju, pa se daje informacija da je tokom 2015. godine bilo ukupno 127 rješenja o postavljenju, dok je tokom 2016. godine bilo ukupno 139 rješenja. Međutim, Osnovno državno tužilaštvo u Podgorici ne posjeduje informaciju koja se odnosi na imena i prezimena postavljenih branilaca po službenoj dužosti, kao i o pojedinačnim iznosima dodijeljenih nagrada. </w:t>
      </w:r>
    </w:p>
    <w:p w:rsidR="007715E0" w:rsidRDefault="007715E0" w:rsidP="007715E0">
      <w:pPr>
        <w:jc w:val="both"/>
        <w:rPr>
          <w:rFonts w:eastAsia="Calibri"/>
          <w:lang w:val="sr-Latn-ME"/>
        </w:rPr>
      </w:pPr>
      <w:r>
        <w:rPr>
          <w:rFonts w:eastAsia="Calibri"/>
          <w:lang w:val="sr-Latn-ME"/>
        </w:rPr>
        <w:t xml:space="preserve">Osnovno državno tužilaštvo u Baru rješenjem TUSPI br 1/17 odbilo kao neosnovan zahtjev Centra za monitoring i istraživanje, jer je ovaj sud utvrdio da se ne vode evidencije o traženim podacima iz zahtjeva. </w:t>
      </w:r>
    </w:p>
    <w:p w:rsidR="007715E0" w:rsidRDefault="007715E0" w:rsidP="007715E0">
      <w:pPr>
        <w:jc w:val="both"/>
        <w:rPr>
          <w:rFonts w:eastAsia="Calibri"/>
          <w:lang w:val="sr-Latn-ME"/>
        </w:rPr>
      </w:pPr>
      <w:r>
        <w:rPr>
          <w:rFonts w:eastAsia="Calibri"/>
          <w:lang w:val="sr-Latn-ME"/>
        </w:rPr>
        <w:t xml:space="preserve">Više državno tužilaštvo u Podgorici je rješenjem broj TUSPI 11/16 djelimično usvojilo zahtjev za pristup informacijama, i dalo informaciju u dijelu koji se odnosi na ukupan broj rješenja o postavljenju, te se navodi  da je tokom 2015. godine bilo ukupno 29 branilaca koji su postavljeni po službenoj dužnosti, dok je tokom 2016. godine angažovano ukupno 95 branioca po službenoj dužnosti. </w:t>
      </w:r>
      <w:r w:rsidRPr="00C60E6D">
        <w:rPr>
          <w:rFonts w:eastAsia="Calibri"/>
          <w:lang w:val="sr-Latn-ME"/>
        </w:rPr>
        <w:t>Odbijen je zahtjev za pristup informacijama u dijelu koji se odnosi na informaciju o navođenjima imena i prezimena advokata, kao</w:t>
      </w:r>
      <w:r>
        <w:rPr>
          <w:rFonts w:eastAsia="Calibri"/>
          <w:lang w:val="sr-Latn-ME"/>
        </w:rPr>
        <w:t xml:space="preserve"> i iznosima isplaćenih nagrada, jer bi to, kako se navodi u obrazloženju ovog rješenja predstavljalo sačinjavanje nove informacije za organ vlasti. </w:t>
      </w:r>
    </w:p>
    <w:p w:rsidR="007715E0" w:rsidRPr="002629F1" w:rsidRDefault="007715E0" w:rsidP="007715E0">
      <w:pPr>
        <w:jc w:val="both"/>
        <w:rPr>
          <w:rFonts w:eastAsia="Calibri"/>
          <w:lang w:val="sr-Latn-ME"/>
        </w:rPr>
      </w:pPr>
      <w:r>
        <w:rPr>
          <w:rFonts w:eastAsia="Calibri"/>
          <w:lang w:val="sr-Latn-ME"/>
        </w:rPr>
        <w:t xml:space="preserve">Takođe, </w:t>
      </w:r>
      <w:r w:rsidRPr="002629F1">
        <w:rPr>
          <w:rFonts w:eastAsia="Calibri"/>
          <w:lang w:val="sr-Latn-ME"/>
        </w:rPr>
        <w:t>Specijalno državno tužilaštvo</w:t>
      </w:r>
      <w:r>
        <w:rPr>
          <w:rFonts w:eastAsia="Calibri"/>
          <w:lang w:val="sr-Latn-ME"/>
        </w:rPr>
        <w:t xml:space="preserve"> je rješenjem broj Tuspi br. 55/16 obavijestilo Centar za monitoring i istraživanja da </w:t>
      </w:r>
      <w:r w:rsidRPr="002629F1">
        <w:rPr>
          <w:rFonts w:eastAsia="Calibri"/>
          <w:lang w:val="sr-Latn-ME"/>
        </w:rPr>
        <w:t xml:space="preserve"> tokom 2015. godine nije imalo troškova po os</w:t>
      </w:r>
      <w:r>
        <w:rPr>
          <w:rFonts w:eastAsia="Calibri"/>
          <w:lang w:val="sr-Latn-ME"/>
        </w:rPr>
        <w:t xml:space="preserve">novu postavljanja branilaca po </w:t>
      </w:r>
      <w:r w:rsidRPr="002629F1">
        <w:rPr>
          <w:rFonts w:eastAsia="Calibri"/>
          <w:lang w:val="sr-Latn-ME"/>
        </w:rPr>
        <w:t>s</w:t>
      </w:r>
      <w:r>
        <w:rPr>
          <w:rFonts w:eastAsia="Calibri"/>
          <w:lang w:val="sr-Latn-ME"/>
        </w:rPr>
        <w:t>l</w:t>
      </w:r>
      <w:r w:rsidRPr="002629F1">
        <w:rPr>
          <w:rFonts w:eastAsia="Calibri"/>
          <w:lang w:val="sr-Latn-ME"/>
        </w:rPr>
        <w:t>užbenoj dužnosti, dok su ukupni troškovi po ovom osnovu za postavljenje 12 branilaca po službenoj dužnosti za cijelu 2016. godinu iznosili 20.520,97.</w:t>
      </w:r>
    </w:p>
    <w:p w:rsidR="007715E0" w:rsidRPr="00C60E6D" w:rsidRDefault="007715E0" w:rsidP="007715E0">
      <w:pPr>
        <w:jc w:val="both"/>
        <w:rPr>
          <w:rFonts w:eastAsia="Calibri"/>
          <w:lang w:val="sr-Latn-ME"/>
        </w:rPr>
      </w:pPr>
    </w:p>
    <w:p w:rsidR="007715E0" w:rsidRDefault="007715E0" w:rsidP="007715E0">
      <w:pPr>
        <w:jc w:val="both"/>
        <w:rPr>
          <w:rFonts w:eastAsia="Calibri"/>
          <w:lang w:val="sr-Latn-ME"/>
        </w:rPr>
      </w:pPr>
    </w:p>
    <w:p w:rsidR="004549D6" w:rsidRDefault="004549D6" w:rsidP="007715E0">
      <w:pPr>
        <w:jc w:val="both"/>
        <w:rPr>
          <w:rFonts w:eastAsia="Calibri"/>
          <w:lang w:val="sr-Latn-ME"/>
        </w:rPr>
      </w:pPr>
    </w:p>
    <w:p w:rsidR="007715E0" w:rsidRDefault="007715E0" w:rsidP="007715E0">
      <w:pPr>
        <w:jc w:val="both"/>
        <w:rPr>
          <w:rFonts w:eastAsia="Calibri"/>
          <w:lang w:val="sr-Latn-ME"/>
        </w:rPr>
      </w:pPr>
    </w:p>
    <w:p w:rsidR="007715E0" w:rsidRPr="007E3D12" w:rsidRDefault="007715E0" w:rsidP="007715E0">
      <w:pPr>
        <w:jc w:val="both"/>
        <w:rPr>
          <w:rFonts w:eastAsia="Calibri"/>
          <w:b/>
          <w:i/>
          <w:lang w:val="sr-Latn-ME"/>
        </w:rPr>
      </w:pPr>
      <w:r>
        <w:rPr>
          <w:rFonts w:eastAsia="Calibri"/>
          <w:b/>
          <w:i/>
          <w:lang w:val="sr-Latn-ME"/>
        </w:rPr>
        <w:t xml:space="preserve">4.1.1. </w:t>
      </w:r>
      <w:r w:rsidRPr="007E3D12">
        <w:rPr>
          <w:rFonts w:eastAsia="Calibri"/>
          <w:b/>
          <w:i/>
          <w:lang w:val="sr-Latn-ME"/>
        </w:rPr>
        <w:t xml:space="preserve">Tabelarni prikaz službenih odbrana </w:t>
      </w:r>
      <w:r>
        <w:rPr>
          <w:rFonts w:eastAsia="Calibri"/>
          <w:b/>
          <w:i/>
          <w:lang w:val="sr-Latn-ME"/>
        </w:rPr>
        <w:t>po osnovnim i višim sudovima u Crnoj Gori</w:t>
      </w:r>
      <w:r>
        <w:rPr>
          <w:rStyle w:val="FootnoteReference"/>
          <w:rFonts w:eastAsia="Calibri"/>
          <w:b/>
          <w:i/>
          <w:lang w:val="sr-Latn-ME"/>
        </w:rPr>
        <w:footnoteReference w:id="17"/>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2126"/>
        <w:gridCol w:w="2410"/>
      </w:tblGrid>
      <w:tr w:rsidR="007715E0" w:rsidRPr="00B22D38" w:rsidTr="00767B74">
        <w:trPr>
          <w:trHeight w:val="286"/>
        </w:trPr>
        <w:tc>
          <w:tcPr>
            <w:tcW w:w="2552" w:type="dxa"/>
            <w:tcBorders>
              <w:top w:val="single" w:sz="12" w:space="0" w:color="000000"/>
              <w:left w:val="single" w:sz="12" w:space="0" w:color="auto"/>
              <w:bottom w:val="single" w:sz="12" w:space="0" w:color="000000"/>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lastRenderedPageBreak/>
              <w:t>NAZIV SUDA</w:t>
            </w:r>
          </w:p>
        </w:tc>
        <w:tc>
          <w:tcPr>
            <w:tcW w:w="1843" w:type="dxa"/>
            <w:tcBorders>
              <w:top w:val="single" w:sz="12" w:space="0" w:color="000000"/>
              <w:left w:val="single" w:sz="12" w:space="0" w:color="auto"/>
              <w:bottom w:val="single" w:sz="12" w:space="0" w:color="000000"/>
              <w:right w:val="single" w:sz="12" w:space="0" w:color="000000"/>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Branilac</w:t>
            </w:r>
          </w:p>
        </w:tc>
        <w:tc>
          <w:tcPr>
            <w:tcW w:w="2126" w:type="dxa"/>
            <w:tcBorders>
              <w:top w:val="single" w:sz="12" w:space="0" w:color="000000"/>
              <w:left w:val="single" w:sz="12" w:space="0" w:color="000000"/>
              <w:bottom w:val="single" w:sz="12" w:space="0" w:color="000000"/>
              <w:right w:val="single" w:sz="12" w:space="0" w:color="000000"/>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Broj postavljenja 2015 i 1016</w:t>
            </w:r>
          </w:p>
        </w:tc>
        <w:tc>
          <w:tcPr>
            <w:tcW w:w="2410" w:type="dxa"/>
            <w:tcBorders>
              <w:top w:val="single" w:sz="12" w:space="0" w:color="000000"/>
              <w:left w:val="single" w:sz="12" w:space="0" w:color="000000"/>
              <w:bottom w:val="single" w:sz="12" w:space="0" w:color="000000"/>
              <w:right w:val="single" w:sz="12" w:space="0" w:color="000000"/>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Ukupan iznos isplaćene nagrade</w:t>
            </w:r>
          </w:p>
        </w:tc>
      </w:tr>
      <w:tr w:rsidR="007715E0" w:rsidRPr="00B22D38" w:rsidTr="00767B74">
        <w:trPr>
          <w:trHeight w:val="286"/>
        </w:trPr>
        <w:tc>
          <w:tcPr>
            <w:tcW w:w="2552" w:type="dxa"/>
            <w:tcBorders>
              <w:top w:val="single" w:sz="12" w:space="0" w:color="000000"/>
              <w:left w:val="single" w:sz="12" w:space="0" w:color="auto"/>
              <w:bottom w:val="single" w:sz="12" w:space="0" w:color="000000"/>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U PODGORICI</w:t>
            </w:r>
          </w:p>
        </w:tc>
        <w:tc>
          <w:tcPr>
            <w:tcW w:w="1843" w:type="dxa"/>
            <w:tcBorders>
              <w:top w:val="single" w:sz="12" w:space="0" w:color="000000"/>
              <w:left w:val="single" w:sz="12" w:space="0" w:color="auto"/>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w:t>
            </w:r>
          </w:p>
        </w:tc>
        <w:tc>
          <w:tcPr>
            <w:tcW w:w="2126" w:type="dxa"/>
            <w:tcBorders>
              <w:top w:val="single" w:sz="12" w:space="0" w:color="000000"/>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w:t>
            </w:r>
          </w:p>
        </w:tc>
        <w:tc>
          <w:tcPr>
            <w:tcW w:w="2410" w:type="dxa"/>
            <w:tcBorders>
              <w:top w:val="single" w:sz="12" w:space="0" w:color="000000"/>
              <w:bottom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w:t>
            </w:r>
          </w:p>
        </w:tc>
      </w:tr>
      <w:tr w:rsidR="007715E0" w:rsidRPr="00B22D38" w:rsidTr="00767B74">
        <w:trPr>
          <w:trHeight w:val="270"/>
        </w:trPr>
        <w:tc>
          <w:tcPr>
            <w:tcW w:w="2552" w:type="dxa"/>
            <w:vMerge w:val="restart"/>
            <w:tcBorders>
              <w:top w:val="single" w:sz="12" w:space="0" w:color="000000"/>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NIKŠIĆ</w:t>
            </w:r>
            <w:r>
              <w:rPr>
                <w:rFonts w:ascii="Calibri" w:eastAsia="Calibri" w:hAnsi="Calibri"/>
                <w:sz w:val="20"/>
                <w:lang w:val="sr-Latn-ME"/>
              </w:rPr>
              <w:t>U</w:t>
            </w:r>
          </w:p>
        </w:tc>
        <w:tc>
          <w:tcPr>
            <w:tcW w:w="1843" w:type="dxa"/>
            <w:tcBorders>
              <w:top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M.</w:t>
            </w:r>
          </w:p>
        </w:tc>
        <w:tc>
          <w:tcPr>
            <w:tcW w:w="2126" w:type="dxa"/>
            <w:tcBorders>
              <w:top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top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2.812,50 </w:t>
            </w:r>
            <w:r w:rsidRPr="00B22D38">
              <w:rPr>
                <w:rFonts w:ascii="Calibri" w:eastAsia="Calibri" w:hAnsi="Calibri" w:cs="Calibri"/>
                <w:b/>
                <w:sz w:val="20"/>
                <w:lang w:val="sr-Latn-ME"/>
              </w:rPr>
              <w:t>€</w:t>
            </w:r>
          </w:p>
        </w:tc>
      </w:tr>
      <w:tr w:rsidR="007715E0" w:rsidRPr="00B22D38" w:rsidTr="00767B74">
        <w:trPr>
          <w:trHeight w:val="270"/>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N.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650 </w:t>
            </w:r>
            <w:r w:rsidRPr="00B22D38">
              <w:rPr>
                <w:rFonts w:ascii="Calibri" w:eastAsia="Calibri" w:hAnsi="Calibri" w:cs="Calibri"/>
                <w:b/>
                <w:sz w:val="20"/>
                <w:lang w:val="sr-Latn-ME"/>
              </w:rPr>
              <w:t>€</w:t>
            </w:r>
          </w:p>
        </w:tc>
      </w:tr>
      <w:tr w:rsidR="007715E0" w:rsidRPr="00B22D38" w:rsidTr="00767B74">
        <w:trPr>
          <w:trHeight w:val="270"/>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J.</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1.137,50 </w:t>
            </w:r>
            <w:r w:rsidRPr="00B22D38">
              <w:rPr>
                <w:rFonts w:ascii="Calibri" w:eastAsia="Calibri" w:hAnsi="Calibri" w:cs="Calibri"/>
                <w:b/>
                <w:sz w:val="20"/>
                <w:lang w:val="sr-Latn-ME"/>
              </w:rPr>
              <w:t>€</w:t>
            </w:r>
          </w:p>
        </w:tc>
      </w:tr>
      <w:tr w:rsidR="007715E0" w:rsidRPr="00B22D38" w:rsidTr="00767B74">
        <w:trPr>
          <w:trHeight w:val="270"/>
        </w:trPr>
        <w:tc>
          <w:tcPr>
            <w:tcW w:w="2552" w:type="dxa"/>
            <w:vMerge/>
            <w:tcBorders>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S.</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650 </w:t>
            </w:r>
            <w:r w:rsidRPr="00B22D38">
              <w:rPr>
                <w:rFonts w:ascii="Calibri" w:eastAsia="Calibri" w:hAnsi="Calibri" w:cs="Calibri"/>
                <w:b/>
                <w:sz w:val="20"/>
                <w:lang w:val="sr-Latn-ME"/>
              </w:rPr>
              <w:t>€</w:t>
            </w:r>
          </w:p>
        </w:tc>
      </w:tr>
      <w:tr w:rsidR="007715E0" w:rsidRPr="00B22D38" w:rsidTr="00767B74">
        <w:trPr>
          <w:trHeight w:val="286"/>
        </w:trPr>
        <w:tc>
          <w:tcPr>
            <w:tcW w:w="2552" w:type="dxa"/>
            <w:vMerge w:val="restart"/>
            <w:tcBorders>
              <w:top w:val="single" w:sz="12" w:space="0" w:color="000000"/>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KOTOR</w:t>
            </w:r>
            <w:r>
              <w:rPr>
                <w:rFonts w:ascii="Calibri" w:eastAsia="Calibri" w:hAnsi="Calibri"/>
                <w:sz w:val="20"/>
                <w:lang w:val="sr-Latn-ME"/>
              </w:rPr>
              <w:t>U</w:t>
            </w: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G. B.</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800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R. M. R.</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131,25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P. D.</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7</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3.641,50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Đ. B.</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9</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3.600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A.</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18</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11.068,75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N.</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10</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11.708,75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V.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1182.50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750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Ć.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6</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2.837,50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V. B.</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1.627,50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1.550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R. A.</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7</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2.470,78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Ž. J.</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2.139,62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V. D.</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1.083,90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Lj. D.</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1075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Đ.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13.376,50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S.</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500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N.</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6</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4.164,96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Lj. S.</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9.606,25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P. A.</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800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I.</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6</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1.952,75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 xml:space="preserve">T. S. </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Z.</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3.763,37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V.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609,37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N.</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3.272,50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P.</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1.175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N.</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531,50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O.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550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D. D.</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8</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3.512,15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D.</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1.250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A.</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581,25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sidRPr="00694EA4">
              <w:rPr>
                <w:rFonts w:ascii="Calibri" w:eastAsia="Calibri" w:hAnsi="Calibri"/>
                <w:sz w:val="20"/>
                <w:lang w:val="sr-Latn-ME"/>
              </w:rPr>
              <w:t>I.</w:t>
            </w:r>
            <w:r>
              <w:rPr>
                <w:rFonts w:ascii="Calibri" w:eastAsia="Calibri" w:hAnsi="Calibri"/>
                <w:sz w:val="20"/>
                <w:lang w:val="sr-Latn-ME"/>
              </w:rPr>
              <w:t xml:space="preserve"> I.</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3.672,64 </w:t>
            </w:r>
            <w:r w:rsidRPr="00B22D38">
              <w:rPr>
                <w:rFonts w:ascii="Calibri" w:eastAsia="Calibri" w:hAnsi="Calibri" w:cs="Calibri"/>
                <w:b/>
                <w:sz w:val="20"/>
                <w:lang w:val="sr-Latn-ME"/>
              </w:rPr>
              <w:t>€</w:t>
            </w:r>
          </w:p>
        </w:tc>
      </w:tr>
      <w:tr w:rsidR="007715E0" w:rsidRPr="00B22D38" w:rsidTr="00767B74">
        <w:trPr>
          <w:trHeight w:val="270"/>
        </w:trPr>
        <w:tc>
          <w:tcPr>
            <w:tcW w:w="2552" w:type="dxa"/>
            <w:vMerge w:val="restart"/>
            <w:tcBorders>
              <w:top w:val="single" w:sz="12" w:space="0" w:color="auto"/>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BAR</w:t>
            </w:r>
            <w:r>
              <w:rPr>
                <w:rFonts w:ascii="Calibri" w:eastAsia="Calibri" w:hAnsi="Calibri"/>
                <w:sz w:val="20"/>
                <w:lang w:val="sr-Latn-ME"/>
              </w:rPr>
              <w:t>U</w:t>
            </w: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D.D.</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1.070 </w:t>
            </w:r>
            <w:r w:rsidRPr="00B22D38">
              <w:rPr>
                <w:rFonts w:ascii="Calibri" w:eastAsia="Calibri" w:hAnsi="Calibri" w:cs="Calibri"/>
                <w:b/>
                <w:sz w:val="20"/>
                <w:lang w:val="sr-Latn-ME"/>
              </w:rPr>
              <w:t>€</w:t>
            </w:r>
          </w:p>
        </w:tc>
      </w:tr>
      <w:tr w:rsidR="007715E0" w:rsidRPr="00B22D38" w:rsidTr="00767B74">
        <w:trPr>
          <w:trHeight w:val="270"/>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sidRPr="00694EA4">
              <w:rPr>
                <w:rFonts w:ascii="Calibri" w:eastAsia="Calibri" w:hAnsi="Calibri"/>
                <w:sz w:val="20"/>
                <w:lang w:val="sr-Latn-ME"/>
              </w:rPr>
              <w:t>I.</w:t>
            </w:r>
            <w:r>
              <w:rPr>
                <w:rFonts w:ascii="Calibri" w:eastAsia="Calibri" w:hAnsi="Calibri"/>
                <w:sz w:val="20"/>
                <w:lang w:val="sr-Latn-ME"/>
              </w:rPr>
              <w:t xml:space="preserve"> J.</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5.362,50 </w:t>
            </w:r>
            <w:r w:rsidRPr="00B22D38">
              <w:rPr>
                <w:rFonts w:ascii="Calibri" w:eastAsia="Calibri" w:hAnsi="Calibri" w:cs="Calibri"/>
                <w:b/>
                <w:sz w:val="20"/>
                <w:lang w:val="sr-Latn-ME"/>
              </w:rPr>
              <w:t>€</w:t>
            </w:r>
          </w:p>
        </w:tc>
      </w:tr>
      <w:tr w:rsidR="007715E0" w:rsidRPr="00B22D38" w:rsidTr="00767B74">
        <w:trPr>
          <w:trHeight w:val="270"/>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950 </w:t>
            </w:r>
            <w:r w:rsidRPr="00B22D38">
              <w:rPr>
                <w:rFonts w:ascii="Calibri" w:eastAsia="Calibri" w:hAnsi="Calibri" w:cs="Calibri"/>
                <w:b/>
                <w:sz w:val="20"/>
                <w:lang w:val="sr-Latn-ME"/>
              </w:rPr>
              <w:t>€</w:t>
            </w:r>
          </w:p>
        </w:tc>
      </w:tr>
      <w:tr w:rsidR="007715E0" w:rsidRPr="00B22D38" w:rsidTr="00767B74">
        <w:trPr>
          <w:trHeight w:val="270"/>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N.</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10.037,25 </w:t>
            </w:r>
            <w:r w:rsidRPr="00B22D38">
              <w:rPr>
                <w:rFonts w:ascii="Calibri" w:eastAsia="Calibri" w:hAnsi="Calibri" w:cs="Calibri"/>
                <w:b/>
                <w:sz w:val="20"/>
                <w:lang w:val="sr-Latn-ME"/>
              </w:rPr>
              <w:t>€</w:t>
            </w:r>
          </w:p>
        </w:tc>
      </w:tr>
      <w:tr w:rsidR="007715E0" w:rsidRPr="00B22D38" w:rsidTr="00767B74">
        <w:trPr>
          <w:trHeight w:val="270"/>
        </w:trPr>
        <w:tc>
          <w:tcPr>
            <w:tcW w:w="2552" w:type="dxa"/>
            <w:vMerge/>
            <w:tcBorders>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N.</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1720 </w:t>
            </w:r>
            <w:r w:rsidRPr="00B22D38">
              <w:rPr>
                <w:rFonts w:ascii="Calibri" w:eastAsia="Calibri" w:hAnsi="Calibri" w:cs="Calibri"/>
                <w:b/>
                <w:sz w:val="20"/>
                <w:lang w:val="sr-Latn-ME"/>
              </w:rPr>
              <w:t>€</w:t>
            </w:r>
          </w:p>
        </w:tc>
      </w:tr>
      <w:tr w:rsidR="007715E0" w:rsidRPr="00B22D38" w:rsidTr="00767B74">
        <w:trPr>
          <w:trHeight w:val="286"/>
        </w:trPr>
        <w:tc>
          <w:tcPr>
            <w:tcW w:w="2552" w:type="dxa"/>
            <w:vMerge w:val="restart"/>
            <w:tcBorders>
              <w:top w:val="single" w:sz="12" w:space="0" w:color="auto"/>
              <w:left w:val="single" w:sz="12" w:space="0" w:color="auto"/>
              <w:right w:val="single" w:sz="12" w:space="0" w:color="auto"/>
            </w:tcBorders>
            <w:shd w:val="clear" w:color="auto" w:fill="E7E6E6"/>
            <w:vAlign w:val="center"/>
          </w:tcPr>
          <w:p w:rsidR="007715E0" w:rsidRDefault="007715E0" w:rsidP="00767B74">
            <w:pPr>
              <w:rPr>
                <w:rFonts w:ascii="Calibri" w:eastAsia="Calibri" w:hAnsi="Calibri"/>
                <w:sz w:val="20"/>
                <w:lang w:val="sr-Latn-ME"/>
              </w:rPr>
            </w:pPr>
            <w:r>
              <w:rPr>
                <w:rFonts w:ascii="Calibri" w:eastAsia="Calibri" w:hAnsi="Calibri"/>
                <w:sz w:val="20"/>
                <w:lang w:val="sr-Latn-ME"/>
              </w:rPr>
              <w:t>OSNOVNI SUD U</w:t>
            </w:r>
          </w:p>
          <w:p w:rsidR="007715E0" w:rsidRPr="00B22D38" w:rsidRDefault="007715E0" w:rsidP="00767B74">
            <w:pPr>
              <w:rPr>
                <w:rFonts w:ascii="Calibri" w:eastAsia="Calibri" w:hAnsi="Calibri"/>
                <w:sz w:val="20"/>
                <w:lang w:val="sr-Latn-ME"/>
              </w:rPr>
            </w:pPr>
            <w:r>
              <w:rPr>
                <w:rFonts w:ascii="Calibri" w:eastAsia="Calibri" w:hAnsi="Calibri"/>
                <w:sz w:val="20"/>
                <w:lang w:val="sr-Latn-ME"/>
              </w:rPr>
              <w:t>HERCEG NOVOM</w:t>
            </w:r>
          </w:p>
        </w:tc>
        <w:tc>
          <w:tcPr>
            <w:tcW w:w="1843" w:type="dxa"/>
            <w:tcBorders>
              <w:top w:val="single" w:sz="12" w:space="0" w:color="auto"/>
            </w:tcBorders>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V. B.</w:t>
            </w:r>
          </w:p>
        </w:tc>
        <w:tc>
          <w:tcPr>
            <w:tcW w:w="2126" w:type="dxa"/>
            <w:tcBorders>
              <w:top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9</w:t>
            </w:r>
          </w:p>
        </w:tc>
        <w:tc>
          <w:tcPr>
            <w:tcW w:w="2410" w:type="dxa"/>
            <w:tcBorders>
              <w:top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3.122,87</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S. P.</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6</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2.635</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B. B.</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2.887,5</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Ć. S.</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11</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4.922,37</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R.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16</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5.425</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M. Lj.</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818.1</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D.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1500</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vAlign w:val="center"/>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M. B.</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6</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1200</w:t>
            </w:r>
          </w:p>
        </w:tc>
      </w:tr>
      <w:tr w:rsidR="007715E0" w:rsidRPr="00B22D38" w:rsidTr="00767B74">
        <w:trPr>
          <w:trHeight w:val="286"/>
        </w:trPr>
        <w:tc>
          <w:tcPr>
            <w:tcW w:w="2552" w:type="dxa"/>
            <w:vMerge/>
            <w:tcBorders>
              <w:left w:val="single" w:sz="12" w:space="0" w:color="auto"/>
              <w:bottom w:val="single" w:sz="12" w:space="0" w:color="000000"/>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bottom w:val="single" w:sz="12" w:space="0" w:color="auto"/>
            </w:tcBorders>
            <w:shd w:val="clear" w:color="auto" w:fill="auto"/>
            <w:vAlign w:val="center"/>
          </w:tcPr>
          <w:p w:rsidR="007715E0" w:rsidRPr="007F72A9" w:rsidRDefault="007715E0" w:rsidP="00767B74">
            <w:pPr>
              <w:rPr>
                <w:rFonts w:ascii="Calibri" w:eastAsia="Calibri" w:hAnsi="Calibri"/>
                <w:sz w:val="20"/>
                <w:lang w:val="sr-Latn-ME"/>
              </w:rPr>
            </w:pPr>
            <w:r w:rsidRPr="007F72A9">
              <w:rPr>
                <w:rFonts w:ascii="Calibri" w:eastAsia="Calibri" w:hAnsi="Calibri"/>
                <w:sz w:val="20"/>
                <w:lang w:val="sr-Latn-ME"/>
              </w:rPr>
              <w:t>S. Š. S.</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3</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928</w:t>
            </w:r>
          </w:p>
        </w:tc>
      </w:tr>
      <w:tr w:rsidR="007715E0" w:rsidRPr="00B22D38" w:rsidTr="00767B74">
        <w:trPr>
          <w:trHeight w:val="286"/>
        </w:trPr>
        <w:tc>
          <w:tcPr>
            <w:tcW w:w="2552" w:type="dxa"/>
            <w:vMerge w:val="restart"/>
            <w:tcBorders>
              <w:top w:val="single" w:sz="12" w:space="0" w:color="000000"/>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ULCINJ</w:t>
            </w:r>
            <w:r>
              <w:rPr>
                <w:rFonts w:ascii="Calibri" w:eastAsia="Calibri" w:hAnsi="Calibri"/>
                <w:sz w:val="20"/>
                <w:lang w:val="sr-Latn-ME"/>
              </w:rPr>
              <w:t>U</w:t>
            </w:r>
          </w:p>
        </w:tc>
        <w:tc>
          <w:tcPr>
            <w:tcW w:w="1843" w:type="dxa"/>
            <w:tcBorders>
              <w:top w:val="single" w:sz="12" w:space="0" w:color="auto"/>
              <w:left w:val="single" w:sz="12" w:space="0" w:color="auto"/>
            </w:tcBorders>
            <w:shd w:val="clear" w:color="auto" w:fill="auto"/>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C. I.</w:t>
            </w:r>
          </w:p>
        </w:tc>
        <w:tc>
          <w:tcPr>
            <w:tcW w:w="2126" w:type="dxa"/>
            <w:tcBorders>
              <w:top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2</w:t>
            </w:r>
          </w:p>
        </w:tc>
        <w:tc>
          <w:tcPr>
            <w:tcW w:w="2410" w:type="dxa"/>
            <w:tcBorders>
              <w:top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2.500</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G. S.</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1.570</w:t>
            </w:r>
          </w:p>
        </w:tc>
      </w:tr>
      <w:tr w:rsidR="007715E0" w:rsidRPr="00B22D38" w:rsidTr="00767B74">
        <w:trPr>
          <w:trHeight w:val="286"/>
        </w:trPr>
        <w:tc>
          <w:tcPr>
            <w:tcW w:w="2552" w:type="dxa"/>
            <w:vMerge/>
            <w:tcBorders>
              <w:left w:val="single" w:sz="12" w:space="0" w:color="auto"/>
              <w:bottom w:val="single" w:sz="12" w:space="0" w:color="000000"/>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bottom w:val="single" w:sz="12" w:space="0" w:color="auto"/>
            </w:tcBorders>
            <w:shd w:val="clear" w:color="auto" w:fill="auto"/>
          </w:tcPr>
          <w:p w:rsidR="007715E0" w:rsidRPr="004B722E" w:rsidRDefault="007715E0" w:rsidP="00767B74">
            <w:pPr>
              <w:rPr>
                <w:rFonts w:ascii="Calibri Light" w:hAnsi="Calibri Light" w:cs="Calibri Light"/>
                <w:sz w:val="20"/>
              </w:rPr>
            </w:pPr>
            <w:r w:rsidRPr="004B722E">
              <w:rPr>
                <w:rFonts w:ascii="Calibri Light" w:hAnsi="Calibri Light" w:cs="Calibri Light"/>
                <w:sz w:val="20"/>
              </w:rPr>
              <w:t>M. R.</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3</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1000</w:t>
            </w:r>
          </w:p>
        </w:tc>
      </w:tr>
      <w:tr w:rsidR="007715E0" w:rsidRPr="00B22D38" w:rsidTr="00767B74">
        <w:trPr>
          <w:trHeight w:val="286"/>
        </w:trPr>
        <w:tc>
          <w:tcPr>
            <w:tcW w:w="2552" w:type="dxa"/>
            <w:tcBorders>
              <w:top w:val="single" w:sz="12" w:space="0" w:color="000000"/>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U CETINJU</w:t>
            </w:r>
            <w:r>
              <w:rPr>
                <w:rStyle w:val="FootnoteReference"/>
                <w:rFonts w:ascii="Calibri" w:eastAsia="Calibri" w:hAnsi="Calibri"/>
                <w:sz w:val="20"/>
                <w:lang w:val="sr-Latn-ME"/>
              </w:rPr>
              <w:footnoteReference w:id="18"/>
            </w:r>
          </w:p>
        </w:tc>
        <w:tc>
          <w:tcPr>
            <w:tcW w:w="1843" w:type="dxa"/>
            <w:tcBorders>
              <w:left w:val="single" w:sz="12" w:space="0" w:color="auto"/>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Pr>
                <w:rFonts w:ascii="Calibri" w:eastAsia="Calibri" w:hAnsi="Calibri"/>
                <w:b/>
                <w:sz w:val="20"/>
                <w:lang w:val="sr-Latn-ME"/>
              </w:rPr>
              <w:t>/</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Pr>
                <w:rFonts w:ascii="Calibri" w:eastAsia="Calibri" w:hAnsi="Calibri"/>
                <w:b/>
                <w:sz w:val="20"/>
                <w:lang w:val="sr-Latn-ME"/>
              </w:rPr>
              <w:t>/</w:t>
            </w:r>
          </w:p>
        </w:tc>
      </w:tr>
      <w:tr w:rsidR="007715E0" w:rsidRPr="00B22D38" w:rsidTr="00767B74">
        <w:trPr>
          <w:trHeight w:val="286"/>
        </w:trPr>
        <w:tc>
          <w:tcPr>
            <w:tcW w:w="2552" w:type="dxa"/>
            <w:vMerge w:val="restart"/>
            <w:tcBorders>
              <w:top w:val="single" w:sz="12" w:space="0" w:color="auto"/>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DANILOVGRAD</w:t>
            </w:r>
            <w:r>
              <w:rPr>
                <w:rFonts w:ascii="Calibri" w:eastAsia="Calibri" w:hAnsi="Calibri"/>
                <w:sz w:val="20"/>
                <w:lang w:val="sr-Latn-ME"/>
              </w:rPr>
              <w:t>U</w:t>
            </w: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V. Ž.</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3.870,36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 xml:space="preserve">R. V. </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1.625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V. P.</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2.264,73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Š.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1.800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left w:val="single" w:sz="12" w:space="0" w:color="auto"/>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Z. S.</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1.025 </w:t>
            </w:r>
            <w:r w:rsidRPr="00B22D38">
              <w:rPr>
                <w:rFonts w:ascii="Calibri" w:eastAsia="Calibri" w:hAnsi="Calibri" w:cs="Calibri"/>
                <w:b/>
                <w:sz w:val="20"/>
                <w:lang w:val="sr-Latn-ME"/>
              </w:rPr>
              <w:t>€</w:t>
            </w:r>
          </w:p>
        </w:tc>
      </w:tr>
      <w:tr w:rsidR="007715E0" w:rsidRPr="00B22D38" w:rsidTr="00767B74">
        <w:trPr>
          <w:trHeight w:val="286"/>
        </w:trPr>
        <w:tc>
          <w:tcPr>
            <w:tcW w:w="2552" w:type="dxa"/>
            <w:tcBorders>
              <w:top w:val="single" w:sz="12" w:space="0" w:color="000000"/>
              <w:left w:val="single" w:sz="12" w:space="0" w:color="000000"/>
              <w:bottom w:val="single" w:sz="12" w:space="0" w:color="auto"/>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BIJELO</w:t>
            </w:r>
            <w:r>
              <w:rPr>
                <w:rFonts w:ascii="Calibri" w:eastAsia="Calibri" w:hAnsi="Calibri"/>
                <w:sz w:val="20"/>
                <w:lang w:val="sr-Latn-ME"/>
              </w:rPr>
              <w:t>M POLJU</w:t>
            </w:r>
          </w:p>
        </w:tc>
        <w:tc>
          <w:tcPr>
            <w:tcW w:w="6379" w:type="dxa"/>
            <w:gridSpan w:val="3"/>
            <w:tcBorders>
              <w:left w:val="single" w:sz="12" w:space="0" w:color="000000"/>
              <w:bottom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SVI BRANIOCI PO SLUŽBENOJ DUŽNOSTI SU POSTAVLJANI PO JEDNOM U TOKU GODINE</w:t>
            </w:r>
          </w:p>
        </w:tc>
      </w:tr>
      <w:tr w:rsidR="007715E0" w:rsidRPr="00B22D38" w:rsidTr="00767B74">
        <w:trPr>
          <w:trHeight w:val="286"/>
        </w:trPr>
        <w:tc>
          <w:tcPr>
            <w:tcW w:w="2552" w:type="dxa"/>
            <w:tcBorders>
              <w:top w:val="single" w:sz="12" w:space="0" w:color="000000"/>
              <w:left w:val="single" w:sz="12" w:space="0" w:color="000000"/>
              <w:bottom w:val="single" w:sz="12" w:space="0" w:color="auto"/>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U BERANAMA</w:t>
            </w:r>
          </w:p>
        </w:tc>
        <w:tc>
          <w:tcPr>
            <w:tcW w:w="6379" w:type="dxa"/>
            <w:gridSpan w:val="3"/>
            <w:tcBorders>
              <w:left w:val="single" w:sz="12" w:space="0" w:color="000000"/>
              <w:bottom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SVI BRANIOCI PO SLUŽBENOJ DUŽNOSTI SU POSTAVLJANI PO JEDNOM U TOKU GODINE</w:t>
            </w:r>
          </w:p>
        </w:tc>
      </w:tr>
      <w:tr w:rsidR="007715E0" w:rsidRPr="00B22D38" w:rsidTr="00767B74">
        <w:trPr>
          <w:trHeight w:val="286"/>
        </w:trPr>
        <w:tc>
          <w:tcPr>
            <w:tcW w:w="2552" w:type="dxa"/>
            <w:vMerge w:val="restart"/>
            <w:tcBorders>
              <w:top w:val="single" w:sz="12" w:space="0" w:color="auto"/>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U PLJEVLJIMA</w:t>
            </w:r>
          </w:p>
        </w:tc>
        <w:tc>
          <w:tcPr>
            <w:tcW w:w="1843" w:type="dxa"/>
            <w:tcBorders>
              <w:top w:val="single" w:sz="12" w:space="0" w:color="auto"/>
              <w:left w:val="single" w:sz="12" w:space="0" w:color="000000"/>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G. M.</w:t>
            </w:r>
          </w:p>
        </w:tc>
        <w:tc>
          <w:tcPr>
            <w:tcW w:w="2126" w:type="dxa"/>
            <w:tcBorders>
              <w:top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top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684,40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jc w:val="center"/>
              <w:rPr>
                <w:rFonts w:ascii="Calibri" w:eastAsia="Calibri" w:hAnsi="Calibri"/>
                <w:sz w:val="20"/>
                <w:lang w:val="sr-Latn-ME"/>
              </w:rPr>
            </w:pPr>
          </w:p>
        </w:tc>
        <w:tc>
          <w:tcPr>
            <w:tcW w:w="1843" w:type="dxa"/>
            <w:tcBorders>
              <w:left w:val="single" w:sz="12" w:space="0" w:color="000000"/>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D.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4.412,50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jc w:val="center"/>
              <w:rPr>
                <w:rFonts w:ascii="Calibri" w:eastAsia="Calibri" w:hAnsi="Calibri"/>
                <w:sz w:val="20"/>
                <w:lang w:val="sr-Latn-ME"/>
              </w:rPr>
            </w:pPr>
          </w:p>
        </w:tc>
        <w:tc>
          <w:tcPr>
            <w:tcW w:w="1843" w:type="dxa"/>
            <w:tcBorders>
              <w:left w:val="single" w:sz="12" w:space="0" w:color="000000"/>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J. R.</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1.442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bottom w:val="single" w:sz="12" w:space="0" w:color="000000"/>
              <w:right w:val="single" w:sz="12" w:space="0" w:color="000000"/>
            </w:tcBorders>
            <w:shd w:val="clear" w:color="auto" w:fill="E7E6E6"/>
            <w:vAlign w:val="center"/>
          </w:tcPr>
          <w:p w:rsidR="007715E0" w:rsidRPr="00B22D38" w:rsidRDefault="007715E0" w:rsidP="00767B74">
            <w:pPr>
              <w:jc w:val="center"/>
              <w:rPr>
                <w:rFonts w:ascii="Calibri" w:eastAsia="Calibri" w:hAnsi="Calibri"/>
                <w:sz w:val="20"/>
                <w:lang w:val="sr-Latn-ME"/>
              </w:rPr>
            </w:pPr>
          </w:p>
        </w:tc>
        <w:tc>
          <w:tcPr>
            <w:tcW w:w="1843" w:type="dxa"/>
            <w:tcBorders>
              <w:left w:val="single" w:sz="12" w:space="0" w:color="000000"/>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N.</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775 </w:t>
            </w:r>
            <w:r w:rsidRPr="00B22D38">
              <w:rPr>
                <w:rFonts w:ascii="Calibri" w:eastAsia="Calibri" w:hAnsi="Calibri" w:cs="Calibri"/>
                <w:b/>
                <w:sz w:val="20"/>
                <w:lang w:val="sr-Latn-ME"/>
              </w:rPr>
              <w:t>€</w:t>
            </w:r>
          </w:p>
        </w:tc>
      </w:tr>
      <w:tr w:rsidR="007715E0" w:rsidRPr="00B22D38" w:rsidTr="00767B74">
        <w:trPr>
          <w:trHeight w:val="286"/>
        </w:trPr>
        <w:tc>
          <w:tcPr>
            <w:tcW w:w="2552" w:type="dxa"/>
            <w:vMerge w:val="restart"/>
            <w:tcBorders>
              <w:top w:val="single" w:sz="12" w:space="0" w:color="000000"/>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OSNOVNI SUD</w:t>
            </w:r>
            <w:r>
              <w:rPr>
                <w:rFonts w:ascii="Calibri" w:eastAsia="Calibri" w:hAnsi="Calibri"/>
                <w:sz w:val="20"/>
                <w:lang w:val="sr-Latn-ME"/>
              </w:rPr>
              <w:t xml:space="preserve"> U</w:t>
            </w:r>
            <w:r w:rsidRPr="00B22D38">
              <w:rPr>
                <w:rFonts w:ascii="Calibri" w:eastAsia="Calibri" w:hAnsi="Calibri"/>
                <w:sz w:val="20"/>
                <w:lang w:val="sr-Latn-ME"/>
              </w:rPr>
              <w:t xml:space="preserve"> KOLAŠIN</w:t>
            </w:r>
            <w:r>
              <w:rPr>
                <w:rFonts w:ascii="Calibri" w:eastAsia="Calibri" w:hAnsi="Calibri"/>
                <w:sz w:val="20"/>
                <w:lang w:val="sr-Latn-ME"/>
              </w:rPr>
              <w:t>U</w:t>
            </w:r>
          </w:p>
        </w:tc>
        <w:tc>
          <w:tcPr>
            <w:tcW w:w="1843" w:type="dxa"/>
            <w:tcBorders>
              <w:top w:val="single" w:sz="12" w:space="0" w:color="auto"/>
              <w:left w:val="single" w:sz="12" w:space="0" w:color="000000"/>
              <w:bottom w:val="single" w:sz="4"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N. V.</w:t>
            </w:r>
          </w:p>
        </w:tc>
        <w:tc>
          <w:tcPr>
            <w:tcW w:w="2126" w:type="dxa"/>
            <w:tcBorders>
              <w:top w:val="single" w:sz="12" w:space="0" w:color="auto"/>
              <w:bottom w:val="single" w:sz="4"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top w:val="single" w:sz="12" w:space="0" w:color="auto"/>
              <w:bottom w:val="single" w:sz="4"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3.925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top w:val="single" w:sz="4" w:space="0" w:color="auto"/>
              <w:left w:val="single" w:sz="12" w:space="0" w:color="000000"/>
              <w:bottom w:val="single" w:sz="4"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G. B.</w:t>
            </w:r>
          </w:p>
        </w:tc>
        <w:tc>
          <w:tcPr>
            <w:tcW w:w="2126" w:type="dxa"/>
            <w:tcBorders>
              <w:top w:val="single" w:sz="4" w:space="0" w:color="auto"/>
              <w:bottom w:val="single" w:sz="4"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top w:val="single" w:sz="4" w:space="0" w:color="auto"/>
              <w:bottom w:val="single" w:sz="4"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4.500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top w:val="single" w:sz="4" w:space="0" w:color="auto"/>
              <w:left w:val="single" w:sz="12" w:space="0" w:color="000000"/>
              <w:bottom w:val="single" w:sz="4"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B. V.</w:t>
            </w:r>
          </w:p>
        </w:tc>
        <w:tc>
          <w:tcPr>
            <w:tcW w:w="2126" w:type="dxa"/>
            <w:tcBorders>
              <w:top w:val="single" w:sz="4" w:space="0" w:color="auto"/>
              <w:bottom w:val="single" w:sz="4"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top w:val="single" w:sz="4" w:space="0" w:color="auto"/>
              <w:bottom w:val="single" w:sz="4"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2.575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bottom w:val="single" w:sz="12" w:space="0" w:color="auto"/>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top w:val="single" w:sz="4" w:space="0" w:color="auto"/>
              <w:left w:val="single" w:sz="12" w:space="0" w:color="000000"/>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Lj.</w:t>
            </w:r>
          </w:p>
        </w:tc>
        <w:tc>
          <w:tcPr>
            <w:tcW w:w="2126" w:type="dxa"/>
            <w:tcBorders>
              <w:top w:val="single" w:sz="4" w:space="0" w:color="auto"/>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top w:val="single" w:sz="4" w:space="0" w:color="auto"/>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1.925 </w:t>
            </w:r>
            <w:r w:rsidRPr="00B22D38">
              <w:rPr>
                <w:rFonts w:ascii="Calibri" w:eastAsia="Calibri" w:hAnsi="Calibri" w:cs="Calibri"/>
                <w:b/>
                <w:sz w:val="20"/>
                <w:lang w:val="sr-Latn-ME"/>
              </w:rPr>
              <w:t>€</w:t>
            </w:r>
          </w:p>
        </w:tc>
      </w:tr>
      <w:tr w:rsidR="007715E0" w:rsidRPr="00B22D38" w:rsidTr="00767B74">
        <w:trPr>
          <w:trHeight w:val="286"/>
        </w:trPr>
        <w:tc>
          <w:tcPr>
            <w:tcW w:w="2552" w:type="dxa"/>
            <w:vMerge w:val="restart"/>
            <w:tcBorders>
              <w:top w:val="single" w:sz="12" w:space="0" w:color="000000"/>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U ROŽAJAMA</w:t>
            </w: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N. H.</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10</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900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Š. A.</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10</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1.822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M.</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9</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1.255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Š. B.</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9</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1.312,50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N.</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617,50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bottom w:val="single" w:sz="12" w:space="0" w:color="auto"/>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R.</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264,50 </w:t>
            </w:r>
            <w:r w:rsidRPr="00B22D38">
              <w:rPr>
                <w:rFonts w:ascii="Calibri" w:eastAsia="Calibri" w:hAnsi="Calibri" w:cs="Calibri"/>
                <w:b/>
                <w:sz w:val="20"/>
                <w:lang w:val="sr-Latn-ME"/>
              </w:rPr>
              <w:t>€</w:t>
            </w:r>
          </w:p>
        </w:tc>
      </w:tr>
      <w:tr w:rsidR="007715E0" w:rsidRPr="00B22D38" w:rsidTr="00767B74">
        <w:trPr>
          <w:trHeight w:val="286"/>
        </w:trPr>
        <w:tc>
          <w:tcPr>
            <w:tcW w:w="2552" w:type="dxa"/>
            <w:vMerge w:val="restart"/>
            <w:tcBorders>
              <w:top w:val="single" w:sz="12" w:space="0" w:color="000000"/>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OSNOVNI SUD</w:t>
            </w:r>
            <w:r>
              <w:rPr>
                <w:rFonts w:ascii="Calibri" w:eastAsia="Calibri" w:hAnsi="Calibri"/>
                <w:sz w:val="20"/>
                <w:lang w:val="sr-Latn-ME"/>
              </w:rPr>
              <w:t xml:space="preserve"> U</w:t>
            </w:r>
            <w:r w:rsidRPr="00B22D38">
              <w:rPr>
                <w:rFonts w:ascii="Calibri" w:eastAsia="Calibri" w:hAnsi="Calibri"/>
                <w:sz w:val="20"/>
                <w:lang w:val="sr-Latn-ME"/>
              </w:rPr>
              <w:t xml:space="preserve"> PLAV</w:t>
            </w:r>
            <w:r>
              <w:rPr>
                <w:rFonts w:ascii="Calibri" w:eastAsia="Calibri" w:hAnsi="Calibri"/>
                <w:sz w:val="20"/>
                <w:lang w:val="sr-Latn-ME"/>
              </w:rPr>
              <w:t>U</w:t>
            </w: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Đ. V.</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1.050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D. B.</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1.025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D. R.</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1.262,50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bottom w:val="single" w:sz="12" w:space="0" w:color="auto"/>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P. E.</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1.568,50 </w:t>
            </w:r>
            <w:r w:rsidRPr="00B22D38">
              <w:rPr>
                <w:rFonts w:ascii="Calibri" w:eastAsia="Calibri" w:hAnsi="Calibri" w:cs="Calibri"/>
                <w:b/>
                <w:sz w:val="20"/>
                <w:lang w:val="sr-Latn-ME"/>
              </w:rPr>
              <w:t>€</w:t>
            </w:r>
          </w:p>
        </w:tc>
      </w:tr>
      <w:tr w:rsidR="007715E0" w:rsidRPr="00B22D38" w:rsidTr="00767B74">
        <w:trPr>
          <w:trHeight w:val="286"/>
        </w:trPr>
        <w:tc>
          <w:tcPr>
            <w:tcW w:w="2552" w:type="dxa"/>
            <w:tcBorders>
              <w:top w:val="single" w:sz="12" w:space="0" w:color="000000"/>
              <w:left w:val="single" w:sz="12" w:space="0" w:color="000000"/>
              <w:bottom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ŽABLJAK</w:t>
            </w:r>
            <w:r>
              <w:rPr>
                <w:rFonts w:ascii="Calibri" w:eastAsia="Calibri" w:hAnsi="Calibri"/>
                <w:sz w:val="20"/>
                <w:lang w:val="sr-Latn-ME"/>
              </w:rPr>
              <w:t>U</w:t>
            </w:r>
          </w:p>
        </w:tc>
        <w:tc>
          <w:tcPr>
            <w:tcW w:w="1843" w:type="dxa"/>
            <w:tcBorders>
              <w:left w:val="single" w:sz="12" w:space="0" w:color="000000"/>
              <w:bottom w:val="single" w:sz="12" w:space="0" w:color="auto"/>
            </w:tcBorders>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Ž. S.</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350 </w:t>
            </w:r>
            <w:r w:rsidRPr="00B22D38">
              <w:rPr>
                <w:rFonts w:ascii="Calibri" w:eastAsia="Calibri" w:hAnsi="Calibri" w:cs="Calibri"/>
                <w:b/>
                <w:sz w:val="20"/>
                <w:lang w:val="sr-Latn-ME"/>
              </w:rPr>
              <w:t>€</w:t>
            </w:r>
          </w:p>
        </w:tc>
      </w:tr>
      <w:tr w:rsidR="007715E0" w:rsidRPr="00B22D38" w:rsidTr="00767B74">
        <w:trPr>
          <w:trHeight w:val="286"/>
        </w:trPr>
        <w:tc>
          <w:tcPr>
            <w:tcW w:w="8931" w:type="dxa"/>
            <w:gridSpan w:val="4"/>
            <w:tcBorders>
              <w:top w:val="single" w:sz="12" w:space="0" w:color="000000"/>
              <w:left w:val="single" w:sz="12" w:space="0" w:color="000000"/>
              <w:bottom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color w:val="FF0000"/>
                <w:sz w:val="20"/>
                <w:lang w:val="sr-Latn-ME"/>
              </w:rPr>
            </w:pPr>
            <w:r>
              <w:rPr>
                <w:rFonts w:ascii="Calibri" w:eastAsia="Calibri" w:hAnsi="Calibri"/>
                <w:b/>
                <w:color w:val="FF0000"/>
                <w:sz w:val="20"/>
                <w:lang w:val="sr-Latn-ME"/>
              </w:rPr>
              <w:t>VIŠI SUDOVI</w:t>
            </w:r>
          </w:p>
        </w:tc>
      </w:tr>
      <w:tr w:rsidR="007715E0" w:rsidRPr="00B22D38" w:rsidTr="00767B74">
        <w:trPr>
          <w:trHeight w:val="286"/>
        </w:trPr>
        <w:tc>
          <w:tcPr>
            <w:tcW w:w="2552" w:type="dxa"/>
            <w:vMerge w:val="restart"/>
            <w:tcBorders>
              <w:top w:val="single" w:sz="12" w:space="0" w:color="auto"/>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VIŠI SUD </w:t>
            </w:r>
            <w:r>
              <w:rPr>
                <w:rFonts w:ascii="Calibri" w:eastAsia="Calibri" w:hAnsi="Calibri"/>
                <w:sz w:val="20"/>
                <w:lang w:val="sr-Latn-ME"/>
              </w:rPr>
              <w:t>U PODGORICI</w:t>
            </w: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sidRPr="00F67519">
              <w:rPr>
                <w:rFonts w:ascii="Calibri" w:eastAsia="Calibri" w:hAnsi="Calibri"/>
                <w:sz w:val="20"/>
                <w:lang w:val="sr-Latn-ME"/>
              </w:rPr>
              <w:t>A.</w:t>
            </w:r>
            <w:r>
              <w:rPr>
                <w:rFonts w:ascii="Calibri" w:eastAsia="Calibri" w:hAnsi="Calibri"/>
                <w:sz w:val="20"/>
                <w:lang w:val="sr-Latn-ME"/>
              </w:rPr>
              <w:t xml:space="preserve"> L.</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4.005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sidRPr="00F67519">
              <w:rPr>
                <w:rFonts w:ascii="Calibri" w:eastAsia="Calibri" w:hAnsi="Calibri"/>
                <w:sz w:val="20"/>
                <w:lang w:val="sr-Latn-ME"/>
              </w:rPr>
              <w:t>A.</w:t>
            </w:r>
            <w:r>
              <w:rPr>
                <w:rFonts w:ascii="Calibri" w:eastAsia="Calibri" w:hAnsi="Calibri"/>
                <w:sz w:val="20"/>
                <w:lang w:val="sr-Latn-ME"/>
              </w:rPr>
              <w:t xml:space="preserve"> B.</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color w:val="FF0000"/>
                <w:sz w:val="20"/>
                <w:lang w:val="sr-Latn-ME"/>
              </w:rPr>
            </w:pPr>
            <w:r w:rsidRPr="00B22D38">
              <w:rPr>
                <w:rFonts w:ascii="Calibri" w:eastAsia="Calibri" w:hAnsi="Calibri"/>
                <w:b/>
                <w:sz w:val="20"/>
                <w:lang w:val="sr-Latn-ME"/>
              </w:rPr>
              <w:t xml:space="preserve">26.308,81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sidRPr="007F72A9">
              <w:rPr>
                <w:rFonts w:ascii="Calibri" w:eastAsia="Calibri" w:hAnsi="Calibri"/>
                <w:sz w:val="20"/>
                <w:lang w:val="sr-Latn-ME"/>
              </w:rPr>
              <w:t>B. Z.</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8</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41.305,56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M.</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9.472,50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 xml:space="preserve">B. M. </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18.021,87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B. S.</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6.450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G. H.</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6</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33.812,11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sidRPr="00F67519">
              <w:rPr>
                <w:rFonts w:ascii="Calibri" w:eastAsia="Calibri" w:hAnsi="Calibri"/>
                <w:sz w:val="20"/>
                <w:lang w:val="sr-Latn-ME"/>
              </w:rPr>
              <w:t>I.</w:t>
            </w:r>
            <w:r>
              <w:rPr>
                <w:rFonts w:ascii="Calibri" w:eastAsia="Calibri" w:hAnsi="Calibri"/>
                <w:sz w:val="20"/>
                <w:lang w:val="sr-Latn-ME"/>
              </w:rPr>
              <w:t xml:space="preserve"> N.</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8.225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N.</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4.760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L. V.</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3.861,50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V.</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16273,87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N.</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2.350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B.</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12.400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P. M.</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2.875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R. Z.</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7.400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R. S.</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5.200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S. L.</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2.885,75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bottom w:val="single" w:sz="12" w:space="0" w:color="auto"/>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vAlign w:val="center"/>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V. V.</w:t>
            </w:r>
          </w:p>
        </w:tc>
        <w:tc>
          <w:tcPr>
            <w:tcW w:w="2126" w:type="dxa"/>
            <w:shd w:val="clear" w:color="auto" w:fill="auto"/>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12.215 </w:t>
            </w:r>
            <w:r w:rsidRPr="00B22D38">
              <w:rPr>
                <w:rFonts w:ascii="Calibri" w:eastAsia="Calibri" w:hAnsi="Calibri" w:cs="Calibri"/>
                <w:b/>
                <w:sz w:val="20"/>
                <w:lang w:val="sr-Latn-ME"/>
              </w:rPr>
              <w:t>€</w:t>
            </w:r>
          </w:p>
        </w:tc>
      </w:tr>
      <w:tr w:rsidR="007715E0" w:rsidRPr="00B22D38" w:rsidTr="00767B74">
        <w:trPr>
          <w:trHeight w:val="286"/>
        </w:trPr>
        <w:tc>
          <w:tcPr>
            <w:tcW w:w="2552" w:type="dxa"/>
            <w:vMerge w:val="restart"/>
            <w:tcBorders>
              <w:top w:val="single" w:sz="12" w:space="0" w:color="auto"/>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r w:rsidRPr="00B22D38">
              <w:rPr>
                <w:rFonts w:ascii="Calibri" w:eastAsia="Calibri" w:hAnsi="Calibri"/>
                <w:sz w:val="20"/>
                <w:lang w:val="sr-Latn-ME"/>
              </w:rPr>
              <w:t xml:space="preserve">VIŠI SUD </w:t>
            </w:r>
            <w:r>
              <w:rPr>
                <w:rFonts w:ascii="Calibri" w:eastAsia="Calibri" w:hAnsi="Calibri"/>
                <w:sz w:val="20"/>
                <w:lang w:val="sr-Latn-ME"/>
              </w:rPr>
              <w:t xml:space="preserve">U </w:t>
            </w:r>
            <w:r w:rsidRPr="00B22D38">
              <w:rPr>
                <w:rFonts w:ascii="Calibri" w:eastAsia="Calibri" w:hAnsi="Calibri"/>
                <w:sz w:val="20"/>
                <w:lang w:val="sr-Latn-ME"/>
              </w:rPr>
              <w:t>BIJELO</w:t>
            </w:r>
            <w:r>
              <w:rPr>
                <w:rFonts w:ascii="Calibri" w:eastAsia="Calibri" w:hAnsi="Calibri"/>
                <w:sz w:val="20"/>
                <w:lang w:val="sr-Latn-ME"/>
              </w:rPr>
              <w:t>M POLJU</w:t>
            </w:r>
          </w:p>
        </w:tc>
        <w:tc>
          <w:tcPr>
            <w:tcW w:w="1843" w:type="dxa"/>
            <w:tcBorders>
              <w:top w:val="single" w:sz="12" w:space="0" w:color="auto"/>
            </w:tcBorders>
            <w:shd w:val="clear" w:color="auto" w:fill="auto"/>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Š. A.</w:t>
            </w:r>
          </w:p>
        </w:tc>
        <w:tc>
          <w:tcPr>
            <w:tcW w:w="2126" w:type="dxa"/>
            <w:tcBorders>
              <w:top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w:t>
            </w:r>
          </w:p>
        </w:tc>
        <w:tc>
          <w:tcPr>
            <w:tcW w:w="2410" w:type="dxa"/>
            <w:tcBorders>
              <w:top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900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M. D.</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2.000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shd w:val="clear" w:color="auto" w:fill="auto"/>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A.</w:t>
            </w:r>
          </w:p>
        </w:tc>
        <w:tc>
          <w:tcPr>
            <w:tcW w:w="2126" w:type="dxa"/>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w:t>
            </w:r>
          </w:p>
        </w:tc>
        <w:tc>
          <w:tcPr>
            <w:tcW w:w="2410" w:type="dxa"/>
            <w:tcBorders>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6054,28 </w:t>
            </w:r>
            <w:r w:rsidRPr="00B22D38">
              <w:rPr>
                <w:rFonts w:ascii="Calibri" w:eastAsia="Calibri" w:hAnsi="Calibri" w:cs="Calibri"/>
                <w:b/>
                <w:sz w:val="20"/>
                <w:lang w:val="sr-Latn-ME"/>
              </w:rPr>
              <w:t>€</w:t>
            </w:r>
          </w:p>
        </w:tc>
      </w:tr>
      <w:tr w:rsidR="007715E0" w:rsidRPr="00B22D38" w:rsidTr="00767B74">
        <w:trPr>
          <w:trHeight w:val="286"/>
        </w:trPr>
        <w:tc>
          <w:tcPr>
            <w:tcW w:w="2552" w:type="dxa"/>
            <w:vMerge/>
            <w:tcBorders>
              <w:left w:val="single" w:sz="12" w:space="0" w:color="000000"/>
              <w:bottom w:val="single" w:sz="12" w:space="0" w:color="auto"/>
              <w:right w:val="single" w:sz="12" w:space="0" w:color="000000"/>
            </w:tcBorders>
            <w:shd w:val="clear" w:color="auto" w:fill="E7E6E6"/>
            <w:vAlign w:val="center"/>
          </w:tcPr>
          <w:p w:rsidR="007715E0" w:rsidRPr="00B22D38" w:rsidRDefault="007715E0" w:rsidP="00767B74">
            <w:pPr>
              <w:rPr>
                <w:rFonts w:ascii="Calibri" w:eastAsia="Calibri" w:hAnsi="Calibri"/>
                <w:sz w:val="20"/>
                <w:lang w:val="sr-Latn-ME"/>
              </w:rPr>
            </w:pPr>
          </w:p>
        </w:tc>
        <w:tc>
          <w:tcPr>
            <w:tcW w:w="1843" w:type="dxa"/>
            <w:tcBorders>
              <w:bottom w:val="single" w:sz="12" w:space="0" w:color="auto"/>
            </w:tcBorders>
            <w:shd w:val="clear" w:color="auto" w:fill="auto"/>
          </w:tcPr>
          <w:p w:rsidR="007715E0" w:rsidRPr="00B22D38" w:rsidRDefault="007715E0" w:rsidP="00767B74">
            <w:pPr>
              <w:rPr>
                <w:rFonts w:ascii="Calibri" w:eastAsia="Calibri" w:hAnsi="Calibri"/>
                <w:sz w:val="20"/>
                <w:lang w:val="sr-Latn-ME"/>
              </w:rPr>
            </w:pPr>
            <w:r>
              <w:rPr>
                <w:rFonts w:ascii="Calibri" w:eastAsia="Calibri" w:hAnsi="Calibri"/>
                <w:sz w:val="20"/>
                <w:lang w:val="sr-Latn-ME"/>
              </w:rPr>
              <w:t>K. F.</w:t>
            </w:r>
          </w:p>
        </w:tc>
        <w:tc>
          <w:tcPr>
            <w:tcW w:w="2126" w:type="dxa"/>
            <w:tcBorders>
              <w:bottom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w:t>
            </w:r>
          </w:p>
        </w:tc>
        <w:tc>
          <w:tcPr>
            <w:tcW w:w="2410" w:type="dxa"/>
            <w:tcBorders>
              <w:bottom w:val="single" w:sz="12" w:space="0" w:color="auto"/>
              <w:right w:val="single" w:sz="12" w:space="0" w:color="auto"/>
            </w:tcBorders>
            <w:shd w:val="clear" w:color="auto" w:fill="auto"/>
            <w:vAlign w:val="center"/>
          </w:tcPr>
          <w:p w:rsidR="007715E0" w:rsidRPr="00B22D38" w:rsidRDefault="007715E0" w:rsidP="00767B74">
            <w:pPr>
              <w:rPr>
                <w:rFonts w:ascii="Calibri" w:eastAsia="Calibri" w:hAnsi="Calibri"/>
                <w:b/>
                <w:sz w:val="20"/>
                <w:lang w:val="sr-Latn-ME"/>
              </w:rPr>
            </w:pPr>
            <w:r w:rsidRPr="00B22D38">
              <w:rPr>
                <w:rFonts w:ascii="Calibri" w:eastAsia="Calibri" w:hAnsi="Calibri"/>
                <w:b/>
                <w:sz w:val="20"/>
                <w:lang w:val="sr-Latn-ME"/>
              </w:rPr>
              <w:t xml:space="preserve">20.505,36 </w:t>
            </w:r>
            <w:r w:rsidRPr="00B22D38">
              <w:rPr>
                <w:rFonts w:ascii="Calibri" w:eastAsia="Calibri" w:hAnsi="Calibri" w:cs="Calibri"/>
                <w:b/>
                <w:sz w:val="20"/>
                <w:lang w:val="sr-Latn-ME"/>
              </w:rPr>
              <w:t>€</w:t>
            </w:r>
          </w:p>
        </w:tc>
      </w:tr>
    </w:tbl>
    <w:p w:rsidR="007715E0" w:rsidRDefault="007715E0" w:rsidP="007715E0">
      <w:pPr>
        <w:jc w:val="both"/>
        <w:rPr>
          <w:rFonts w:eastAsia="Calibri"/>
          <w:lang w:val="sr-Latn-ME"/>
        </w:rPr>
      </w:pPr>
    </w:p>
    <w:p w:rsidR="007715E0" w:rsidRPr="00512545" w:rsidRDefault="007715E0" w:rsidP="007715E0">
      <w:pPr>
        <w:jc w:val="both"/>
        <w:rPr>
          <w:rFonts w:eastAsia="Calibri"/>
          <w:lang w:val="sr-Latn-ME"/>
        </w:rPr>
      </w:pPr>
      <w:r w:rsidRPr="00512545">
        <w:rPr>
          <w:rFonts w:eastAsia="Calibri"/>
          <w:lang w:val="sr-Latn-ME"/>
        </w:rPr>
        <w:t>U tabelarnom prikazu mogu se vidjeti postavljena advokata po službenoj dužnosti, i to samo onih koji su post</w:t>
      </w:r>
      <w:r>
        <w:rPr>
          <w:rFonts w:eastAsia="Calibri"/>
          <w:lang w:val="sr-Latn-ME"/>
        </w:rPr>
        <w:t>av</w:t>
      </w:r>
      <w:r w:rsidRPr="00512545">
        <w:rPr>
          <w:rFonts w:eastAsia="Calibri"/>
          <w:lang w:val="sr-Latn-ME"/>
        </w:rPr>
        <w:t xml:space="preserve">ljani tokom </w:t>
      </w:r>
      <w:r>
        <w:rPr>
          <w:rFonts w:eastAsia="Calibri"/>
          <w:lang w:val="sr-Latn-ME"/>
        </w:rPr>
        <w:t>dvogodišnjeg perioda</w:t>
      </w:r>
      <w:r w:rsidRPr="00512545">
        <w:rPr>
          <w:rFonts w:eastAsia="Calibri"/>
          <w:lang w:val="sr-Latn-ME"/>
        </w:rPr>
        <w:t xml:space="preserve"> </w:t>
      </w:r>
      <w:r w:rsidRPr="00512545">
        <w:rPr>
          <w:rFonts w:eastAsia="Calibri"/>
          <w:b/>
          <w:lang w:val="sr-Latn-ME"/>
        </w:rPr>
        <w:t>više od dva puta</w:t>
      </w:r>
      <w:r w:rsidRPr="00512545">
        <w:rPr>
          <w:rFonts w:eastAsia="Calibri"/>
          <w:lang w:val="sr-Latn-ME"/>
        </w:rPr>
        <w:t xml:space="preserve">, sa ukupnim iznosom sredstva koja su im dodijeljena, kao i ukupnim iznosima </w:t>
      </w:r>
      <w:r>
        <w:rPr>
          <w:rFonts w:eastAsia="Calibri"/>
          <w:lang w:val="sr-Latn-ME"/>
        </w:rPr>
        <w:t xml:space="preserve">novčanih nagrada </w:t>
      </w:r>
      <w:r w:rsidRPr="00512545">
        <w:rPr>
          <w:rFonts w:eastAsia="Calibri"/>
          <w:lang w:val="sr-Latn-ME"/>
        </w:rPr>
        <w:t>određenim na nivou sudova i tužilaštava.</w:t>
      </w:r>
      <w:r>
        <w:rPr>
          <w:rFonts w:eastAsia="Calibri"/>
          <w:lang w:val="sr-Latn-ME"/>
        </w:rPr>
        <w:t xml:space="preserve"> Uzorak se odnosi na 13 osnovnih sudova u Crnoj Gori, sa izuzetkom Osnovnog suda u Podgorici i Osnovnog suda u Baru, koji nijesu dostavili podatke o imenima i prezimenima advokata određenih za zastupanje poslužbenoj dužnosti, kao ni informaciju o broju službenih odbrana po svakom advokatu. </w:t>
      </w:r>
    </w:p>
    <w:p w:rsidR="007715E0" w:rsidRDefault="007715E0" w:rsidP="007715E0">
      <w:pPr>
        <w:jc w:val="both"/>
        <w:rPr>
          <w:rFonts w:eastAsia="Calibri"/>
          <w:lang w:val="sr-Latn-ME"/>
        </w:rPr>
      </w:pPr>
      <w:r w:rsidRPr="00512545">
        <w:rPr>
          <w:rFonts w:eastAsia="Calibri"/>
          <w:lang w:val="sr-Latn-ME"/>
        </w:rPr>
        <w:t>Na osnovu analize navedenih  podataka, jasno je  uočljivo da se pojedini advokati postavljaju u više predmeta po nekoliko puta (pojedini čak više od deset puta), dok pojedini ne dolaze na red nijednom</w:t>
      </w:r>
      <w:r>
        <w:rPr>
          <w:rFonts w:eastAsia="Calibri"/>
          <w:lang w:val="sr-Latn-ME"/>
        </w:rPr>
        <w:t>,</w:t>
      </w:r>
      <w:r w:rsidRPr="00512545">
        <w:rPr>
          <w:rFonts w:eastAsia="Calibri"/>
          <w:lang w:val="sr-Latn-ME"/>
        </w:rPr>
        <w:t xml:space="preserve"> iako po azbučnom redu bi trebali da budu ispred onih koji su određivani više puta. Osim postavljanja nekih advokata po nekoliko puta, u prilog nepoštovanja redosleda govore i azbučni red čiji je redosled potrebno poštovati, gdje se zapaža situacija da neki advokati sa početnim slovom „S“ ili „Š“, budu postavljani prije onih sa početnim slovima „A“  ili „B“. Sve ovo dokazuje da sudovi i tužilaštva ne poštuju redosled prilikom postavljanja branilaca po službenoj dužnosti, već da se favorizuju određeni, sa kojima su vjerovatno u prijateljskim i rođačkim vezama, o čemu svjedoči i značajan broj advokata koji su dostavili svoja mišljenja o ovoj pojavi</w:t>
      </w:r>
      <w:r w:rsidRPr="00512545">
        <w:rPr>
          <w:rFonts w:eastAsia="Calibri"/>
          <w:vertAlign w:val="superscript"/>
          <w:lang w:val="sr-Latn-ME"/>
        </w:rPr>
        <w:footnoteReference w:id="19"/>
      </w:r>
      <w:r w:rsidRPr="00512545">
        <w:rPr>
          <w:rFonts w:eastAsia="Calibri"/>
          <w:lang w:val="sr-Latn-ME"/>
        </w:rPr>
        <w:t>.</w:t>
      </w:r>
    </w:p>
    <w:p w:rsidR="007715E0" w:rsidRDefault="007715E0" w:rsidP="007715E0">
      <w:pPr>
        <w:jc w:val="both"/>
        <w:rPr>
          <w:rFonts w:eastAsia="Calibri"/>
          <w:lang w:val="sr-Latn-ME"/>
        </w:rPr>
      </w:pPr>
    </w:p>
    <w:p w:rsidR="007715E0" w:rsidRPr="007E3D12" w:rsidRDefault="007715E0" w:rsidP="007715E0">
      <w:pPr>
        <w:rPr>
          <w:rFonts w:eastAsia="Calibri"/>
          <w:b/>
          <w:i/>
          <w:lang w:val="sr-Latn-ME"/>
        </w:rPr>
      </w:pPr>
      <w:r>
        <w:rPr>
          <w:rFonts w:eastAsia="Calibri"/>
          <w:b/>
          <w:i/>
          <w:lang w:val="sr-Latn-ME"/>
        </w:rPr>
        <w:t xml:space="preserve">4.1.2. </w:t>
      </w:r>
      <w:r w:rsidRPr="007E3D12">
        <w:rPr>
          <w:rFonts w:eastAsia="Calibri"/>
          <w:b/>
          <w:i/>
          <w:lang w:val="sr-Latn-ME"/>
        </w:rPr>
        <w:t>Tabelarni prikaz troškova</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981"/>
        <w:gridCol w:w="2976"/>
      </w:tblGrid>
      <w:tr w:rsidR="007715E0" w:rsidRPr="00B22D38" w:rsidTr="00767B74">
        <w:trPr>
          <w:trHeight w:val="469"/>
        </w:trPr>
        <w:tc>
          <w:tcPr>
            <w:tcW w:w="2831" w:type="dxa"/>
            <w:vMerge w:val="restart"/>
            <w:tcBorders>
              <w:top w:val="single" w:sz="12" w:space="0" w:color="auto"/>
              <w:left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NAZIV SUDA</w:t>
            </w:r>
          </w:p>
        </w:tc>
        <w:tc>
          <w:tcPr>
            <w:tcW w:w="5957" w:type="dxa"/>
            <w:gridSpan w:val="2"/>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TROŠKOVI</w:t>
            </w:r>
          </w:p>
        </w:tc>
      </w:tr>
      <w:tr w:rsidR="007715E0" w:rsidRPr="00B22D38" w:rsidTr="00767B74">
        <w:trPr>
          <w:trHeight w:val="469"/>
        </w:trPr>
        <w:tc>
          <w:tcPr>
            <w:tcW w:w="2831" w:type="dxa"/>
            <w:vMerge/>
            <w:tcBorders>
              <w:left w:val="single" w:sz="12" w:space="0" w:color="auto"/>
              <w:bottom w:val="single" w:sz="12" w:space="0" w:color="auto"/>
              <w:right w:val="single" w:sz="12" w:space="0" w:color="auto"/>
            </w:tcBorders>
            <w:shd w:val="clear" w:color="auto" w:fill="E7E6E6"/>
          </w:tcPr>
          <w:p w:rsidR="007715E0" w:rsidRPr="00B22D38" w:rsidRDefault="007715E0" w:rsidP="00767B74">
            <w:pPr>
              <w:rPr>
                <w:rFonts w:ascii="Calibri" w:eastAsia="Calibri" w:hAnsi="Calibri"/>
                <w:b/>
                <w:sz w:val="20"/>
                <w:lang w:val="sr-Latn-ME"/>
              </w:rPr>
            </w:pPr>
          </w:p>
        </w:tc>
        <w:tc>
          <w:tcPr>
            <w:tcW w:w="298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2015</w:t>
            </w:r>
          </w:p>
        </w:tc>
        <w:tc>
          <w:tcPr>
            <w:tcW w:w="2976"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2016</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OSNOVNI S</w:t>
            </w:r>
            <w:r>
              <w:rPr>
                <w:rFonts w:ascii="Calibri" w:eastAsia="Calibri" w:hAnsi="Calibri"/>
                <w:sz w:val="20"/>
                <w:lang w:val="sr-Latn-ME"/>
              </w:rPr>
              <w:t>UD U PODGORICI</w:t>
            </w:r>
          </w:p>
        </w:tc>
        <w:tc>
          <w:tcPr>
            <w:tcW w:w="2981" w:type="dxa"/>
            <w:tcBorders>
              <w:top w:val="single" w:sz="12" w:space="0" w:color="auto"/>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229.095,39 </w:t>
            </w:r>
            <w:r w:rsidRPr="00B22D38">
              <w:rPr>
                <w:rFonts w:ascii="Calibri" w:eastAsia="Calibri" w:hAnsi="Calibri" w:cs="Calibri"/>
                <w:b/>
                <w:sz w:val="20"/>
                <w:lang w:val="sr-Latn-ME"/>
              </w:rPr>
              <w:t>€</w:t>
            </w:r>
          </w:p>
        </w:tc>
        <w:tc>
          <w:tcPr>
            <w:tcW w:w="2976" w:type="dxa"/>
            <w:tcBorders>
              <w:top w:val="single" w:sz="12" w:space="0" w:color="auto"/>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246.898,58 </w:t>
            </w:r>
            <w:r w:rsidRPr="00B22D38">
              <w:rPr>
                <w:rFonts w:ascii="Calibri" w:eastAsia="Calibri" w:hAnsi="Calibri" w:cs="Calibri"/>
                <w:b/>
                <w:sz w:val="20"/>
                <w:lang w:val="sr-Latn-ME"/>
              </w:rPr>
              <w:t>€</w:t>
            </w:r>
          </w:p>
        </w:tc>
      </w:tr>
      <w:tr w:rsidR="007715E0" w:rsidRPr="00B22D38" w:rsidTr="00767B74">
        <w:trPr>
          <w:trHeight w:val="443"/>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NIKŠIĆ</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24.076 €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350 €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KOTOR</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44.481,25 €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84.298,67 €</w:t>
            </w:r>
          </w:p>
        </w:tc>
      </w:tr>
      <w:tr w:rsidR="007715E0" w:rsidRPr="00B22D38" w:rsidTr="00767B74">
        <w:trPr>
          <w:trHeight w:val="443"/>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BAR</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69.583,17 €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58.011,75 €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OSNOVNI SUD</w:t>
            </w:r>
            <w:r>
              <w:rPr>
                <w:rFonts w:ascii="Calibri" w:eastAsia="Calibri" w:hAnsi="Calibri"/>
                <w:sz w:val="20"/>
                <w:lang w:val="sr-Latn-ME"/>
              </w:rPr>
              <w:t xml:space="preserve"> U HERCEG NOVOM</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22.358,15 €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15.231,5 €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ULCINJ</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6.200 </w:t>
            </w:r>
            <w:r w:rsidRPr="00B22D38">
              <w:rPr>
                <w:rFonts w:ascii="Calibri" w:eastAsia="Calibri" w:hAnsi="Calibri" w:cs="Calibri"/>
                <w:b/>
                <w:sz w:val="20"/>
                <w:lang w:val="sr-Latn-ME"/>
              </w:rPr>
              <w:t>€</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4.308,70 </w:t>
            </w:r>
            <w:r w:rsidRPr="00B22D38">
              <w:rPr>
                <w:rFonts w:ascii="Calibri" w:eastAsia="Calibri" w:hAnsi="Calibri" w:cs="Calibri"/>
                <w:b/>
                <w:sz w:val="20"/>
                <w:lang w:val="sr-Latn-ME"/>
              </w:rPr>
              <w:t>€</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CETI</w:t>
            </w:r>
            <w:r>
              <w:rPr>
                <w:rFonts w:ascii="Calibri" w:eastAsia="Calibri" w:hAnsi="Calibri"/>
                <w:sz w:val="20"/>
                <w:lang w:val="sr-Latn-ME"/>
              </w:rPr>
              <w:t>NJU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1.387,15 </w:t>
            </w:r>
            <w:r w:rsidRPr="00B22D38">
              <w:rPr>
                <w:rFonts w:ascii="Calibri" w:eastAsia="Calibri" w:hAnsi="Calibri" w:cs="Calibri"/>
                <w:b/>
                <w:sz w:val="20"/>
                <w:lang w:val="sr-Latn-ME"/>
              </w:rPr>
              <w:t>€</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1.250 </w:t>
            </w:r>
            <w:r w:rsidRPr="00B22D38">
              <w:rPr>
                <w:rFonts w:ascii="Calibri" w:eastAsia="Calibri" w:hAnsi="Calibri" w:cs="Calibri"/>
                <w:b/>
                <w:sz w:val="20"/>
                <w:lang w:val="sr-Latn-ME"/>
              </w:rPr>
              <w:t>€</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DANILOVGRAD</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12.783,32 €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11.253,91 €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BIJELO</w:t>
            </w:r>
            <w:r>
              <w:rPr>
                <w:rFonts w:ascii="Calibri" w:eastAsia="Calibri" w:hAnsi="Calibri"/>
                <w:sz w:val="20"/>
                <w:lang w:val="sr-Latn-ME"/>
              </w:rPr>
              <w:t xml:space="preserve">M </w:t>
            </w:r>
            <w:r>
              <w:rPr>
                <w:rFonts w:ascii="Calibri" w:eastAsia="Calibri" w:hAnsi="Calibri"/>
                <w:sz w:val="20"/>
                <w:lang w:val="sr-Latn-ME"/>
              </w:rPr>
              <w:lastRenderedPageBreak/>
              <w:t>POLJU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lastRenderedPageBreak/>
              <w:t>4.605,70 €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513 €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lastRenderedPageBreak/>
              <w:t>OSNOVNI SUD</w:t>
            </w:r>
            <w:r>
              <w:rPr>
                <w:rFonts w:ascii="Calibri" w:eastAsia="Calibri" w:hAnsi="Calibri"/>
                <w:sz w:val="20"/>
                <w:lang w:val="sr-Latn-ME"/>
              </w:rPr>
              <w:t xml:space="preserve"> U  BERANAMA</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1.625 </w:t>
            </w:r>
            <w:r w:rsidRPr="00B22D38">
              <w:rPr>
                <w:rFonts w:ascii="Calibri" w:eastAsia="Calibri" w:hAnsi="Calibri" w:cs="Calibri"/>
                <w:b/>
                <w:sz w:val="20"/>
                <w:lang w:val="sr-Latn-ME"/>
              </w:rPr>
              <w:t>€</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 xml:space="preserve">300 </w:t>
            </w:r>
            <w:r w:rsidRPr="00B22D38">
              <w:rPr>
                <w:rFonts w:ascii="Calibri" w:eastAsia="Calibri" w:hAnsi="Calibri" w:cs="Calibri"/>
                <w:b/>
                <w:sz w:val="20"/>
                <w:lang w:val="sr-Latn-ME"/>
              </w:rPr>
              <w:t>€</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OSNOVNI SUD</w:t>
            </w:r>
            <w:r>
              <w:rPr>
                <w:rFonts w:ascii="Calibri" w:eastAsia="Calibri" w:hAnsi="Calibri"/>
                <w:sz w:val="20"/>
                <w:lang w:val="sr-Latn-ME"/>
              </w:rPr>
              <w:t xml:space="preserve"> U PLJEVLJIMA</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6.311,15 €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3.699,50 €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OSNOVNI SUD</w:t>
            </w:r>
            <w:r>
              <w:rPr>
                <w:rFonts w:ascii="Calibri" w:eastAsia="Calibri" w:hAnsi="Calibri"/>
                <w:sz w:val="20"/>
                <w:lang w:val="sr-Latn-ME"/>
              </w:rPr>
              <w:t xml:space="preserve"> U</w:t>
            </w:r>
            <w:r w:rsidRPr="00B22D38">
              <w:rPr>
                <w:rFonts w:ascii="Calibri" w:eastAsia="Calibri" w:hAnsi="Calibri"/>
                <w:sz w:val="20"/>
                <w:lang w:val="sr-Latn-ME"/>
              </w:rPr>
              <w:t xml:space="preserve"> KOLAŠIN</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7.508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7.125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U ROŽAJAMA</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2.557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5.737,5 €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PLAV</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1.738,5 €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3.967,5 €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OSNOVNI SUD </w:t>
            </w:r>
            <w:r>
              <w:rPr>
                <w:rFonts w:ascii="Calibri" w:eastAsia="Calibri" w:hAnsi="Calibri"/>
                <w:sz w:val="20"/>
                <w:lang w:val="sr-Latn-ME"/>
              </w:rPr>
              <w:t xml:space="preserve">U </w:t>
            </w:r>
            <w:r w:rsidRPr="00B22D38">
              <w:rPr>
                <w:rFonts w:ascii="Calibri" w:eastAsia="Calibri" w:hAnsi="Calibri"/>
                <w:sz w:val="20"/>
                <w:lang w:val="sr-Latn-ME"/>
              </w:rPr>
              <w:t>ŽABLJAK</w:t>
            </w:r>
            <w:r>
              <w:rPr>
                <w:rFonts w:ascii="Calibri" w:eastAsia="Calibri" w:hAnsi="Calibri"/>
                <w:sz w:val="20"/>
                <w:lang w:val="sr-Latn-ME"/>
              </w:rPr>
              <w:t>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350 €</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150 €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color w:val="FF0000"/>
                <w:sz w:val="20"/>
                <w:lang w:val="sr-Latn-ME"/>
              </w:rPr>
              <w:t>UKUPNO OSNOVNI SUDOVI</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color w:val="FF0000"/>
                <w:sz w:val="20"/>
                <w:lang w:val="sr-Latn-ME"/>
              </w:rPr>
            </w:pPr>
            <w:r w:rsidRPr="00B22D38">
              <w:rPr>
                <w:rFonts w:ascii="Calibri" w:eastAsia="Calibri" w:hAnsi="Calibri"/>
                <w:b/>
                <w:color w:val="FF0000"/>
                <w:sz w:val="20"/>
                <w:lang w:val="sr-Latn-ME"/>
              </w:rPr>
              <w:t xml:space="preserve">434.659,78 </w:t>
            </w:r>
            <w:r w:rsidRPr="00B22D38">
              <w:rPr>
                <w:rFonts w:ascii="Calibri" w:eastAsia="Calibri" w:hAnsi="Calibri" w:cs="Calibri"/>
                <w:b/>
                <w:color w:val="FF0000"/>
                <w:sz w:val="20"/>
                <w:lang w:val="sr-Latn-ME"/>
              </w:rPr>
              <w:t>€</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color w:val="FF0000"/>
                <w:sz w:val="20"/>
                <w:lang w:val="sr-Latn-ME"/>
              </w:rPr>
            </w:pPr>
            <w:r w:rsidRPr="00B22D38">
              <w:rPr>
                <w:rFonts w:ascii="Calibri" w:eastAsia="Calibri" w:hAnsi="Calibri"/>
                <w:b/>
                <w:color w:val="FF0000"/>
                <w:sz w:val="20"/>
                <w:lang w:val="sr-Latn-ME"/>
              </w:rPr>
              <w:t xml:space="preserve">443.095,61 </w:t>
            </w:r>
            <w:r w:rsidRPr="00B22D38">
              <w:rPr>
                <w:rFonts w:ascii="Calibri" w:eastAsia="Calibri" w:hAnsi="Calibri" w:cs="Calibri"/>
                <w:b/>
                <w:color w:val="FF0000"/>
                <w:sz w:val="20"/>
                <w:lang w:val="sr-Latn-ME"/>
              </w:rPr>
              <w:t>€</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VIŠI SUD </w:t>
            </w:r>
            <w:r>
              <w:rPr>
                <w:rFonts w:ascii="Calibri" w:eastAsia="Calibri" w:hAnsi="Calibri"/>
                <w:sz w:val="20"/>
                <w:lang w:val="sr-Latn-ME"/>
              </w:rPr>
              <w:t>U PODGORICI</w:t>
            </w:r>
          </w:p>
        </w:tc>
        <w:tc>
          <w:tcPr>
            <w:tcW w:w="2981" w:type="dxa"/>
            <w:tcBorders>
              <w:left w:val="single" w:sz="12" w:space="0" w:color="auto"/>
              <w:right w:val="single" w:sz="12" w:space="0" w:color="auto"/>
            </w:tcBorders>
            <w:shd w:val="clear" w:color="auto" w:fill="auto"/>
          </w:tcPr>
          <w:p w:rsidR="007715E0" w:rsidRPr="00727BD8" w:rsidRDefault="007715E0" w:rsidP="00767B74">
            <w:pPr>
              <w:jc w:val="center"/>
              <w:rPr>
                <w:rFonts w:ascii="Calibri" w:eastAsia="Calibri" w:hAnsi="Calibri"/>
                <w:b/>
                <w:sz w:val="20"/>
                <w:lang w:val="sr-Latn-ME"/>
              </w:rPr>
            </w:pPr>
            <w:r w:rsidRPr="00727BD8">
              <w:rPr>
                <w:rFonts w:ascii="Calibri" w:eastAsia="Calibri" w:hAnsi="Calibri"/>
                <w:b/>
                <w:sz w:val="20"/>
                <w:lang w:val="sr-Latn-ME"/>
              </w:rPr>
              <w:t>263.323,27 €</w:t>
            </w:r>
          </w:p>
        </w:tc>
        <w:tc>
          <w:tcPr>
            <w:tcW w:w="2976" w:type="dxa"/>
            <w:tcBorders>
              <w:left w:val="single" w:sz="12" w:space="0" w:color="auto"/>
              <w:right w:val="single" w:sz="12" w:space="0" w:color="auto"/>
            </w:tcBorders>
            <w:shd w:val="clear" w:color="auto" w:fill="auto"/>
          </w:tcPr>
          <w:p w:rsidR="007715E0" w:rsidRPr="00727BD8" w:rsidRDefault="007715E0" w:rsidP="00767B74">
            <w:pPr>
              <w:jc w:val="center"/>
              <w:rPr>
                <w:rFonts w:ascii="Calibri" w:eastAsia="Calibri" w:hAnsi="Calibri"/>
                <w:b/>
                <w:sz w:val="20"/>
                <w:lang w:val="sr-Latn-ME"/>
              </w:rPr>
            </w:pPr>
            <w:r w:rsidRPr="00727BD8">
              <w:rPr>
                <w:rFonts w:ascii="Calibri" w:eastAsia="Calibri" w:hAnsi="Calibri"/>
                <w:b/>
                <w:sz w:val="20"/>
                <w:lang w:val="sr-Latn-ME"/>
              </w:rPr>
              <w:t>232.432,21 €</w:t>
            </w:r>
          </w:p>
        </w:tc>
      </w:tr>
      <w:tr w:rsidR="007715E0" w:rsidRPr="00B22D38" w:rsidTr="00767B74">
        <w:trPr>
          <w:trHeight w:val="46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sz w:val="20"/>
                <w:lang w:val="sr-Latn-ME"/>
              </w:rPr>
            </w:pPr>
            <w:r w:rsidRPr="00B22D38">
              <w:rPr>
                <w:rFonts w:ascii="Calibri" w:eastAsia="Calibri" w:hAnsi="Calibri"/>
                <w:sz w:val="20"/>
                <w:lang w:val="sr-Latn-ME"/>
              </w:rPr>
              <w:t xml:space="preserve">VIŠI SUD </w:t>
            </w:r>
            <w:r>
              <w:rPr>
                <w:rFonts w:ascii="Calibri" w:eastAsia="Calibri" w:hAnsi="Calibri"/>
                <w:sz w:val="20"/>
                <w:lang w:val="sr-Latn-ME"/>
              </w:rPr>
              <w:t xml:space="preserve">U </w:t>
            </w:r>
            <w:r w:rsidRPr="00B22D38">
              <w:rPr>
                <w:rFonts w:ascii="Calibri" w:eastAsia="Calibri" w:hAnsi="Calibri"/>
                <w:sz w:val="20"/>
                <w:lang w:val="sr-Latn-ME"/>
              </w:rPr>
              <w:t>BIJELO</w:t>
            </w:r>
            <w:r>
              <w:rPr>
                <w:rFonts w:ascii="Calibri" w:eastAsia="Calibri" w:hAnsi="Calibri"/>
                <w:sz w:val="20"/>
                <w:lang w:val="sr-Latn-ME"/>
              </w:rPr>
              <w:t>M POLJU</w:t>
            </w:r>
          </w:p>
        </w:tc>
        <w:tc>
          <w:tcPr>
            <w:tcW w:w="2981"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126.584,78€</w:t>
            </w:r>
          </w:p>
        </w:tc>
        <w:tc>
          <w:tcPr>
            <w:tcW w:w="2976"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sz w:val="20"/>
                <w:lang w:val="sr-Latn-ME"/>
              </w:rPr>
              <w:t>76.664,93 €</w:t>
            </w:r>
          </w:p>
        </w:tc>
      </w:tr>
      <w:tr w:rsidR="007715E0" w:rsidRPr="00B22D38" w:rsidTr="00767B74">
        <w:trPr>
          <w:trHeight w:val="179"/>
        </w:trPr>
        <w:tc>
          <w:tcPr>
            <w:tcW w:w="2831"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lang w:val="sr-Latn-ME"/>
              </w:rPr>
            </w:pPr>
            <w:r w:rsidRPr="00B22D38">
              <w:rPr>
                <w:rFonts w:ascii="Calibri" w:eastAsia="Calibri" w:hAnsi="Calibri"/>
                <w:b/>
                <w:color w:val="FF0000"/>
                <w:sz w:val="20"/>
                <w:lang w:val="sr-Latn-ME"/>
              </w:rPr>
              <w:t>UKUPNO VIŠI SUDOVI</w:t>
            </w:r>
          </w:p>
        </w:tc>
        <w:tc>
          <w:tcPr>
            <w:tcW w:w="2981" w:type="dxa"/>
            <w:tcBorders>
              <w:left w:val="single" w:sz="12" w:space="0" w:color="auto"/>
              <w:bottom w:val="single" w:sz="12" w:space="0" w:color="auto"/>
              <w:right w:val="single" w:sz="12" w:space="0" w:color="auto"/>
            </w:tcBorders>
            <w:shd w:val="clear" w:color="auto" w:fill="auto"/>
          </w:tcPr>
          <w:p w:rsidR="007715E0" w:rsidRPr="00727BD8" w:rsidRDefault="007715E0" w:rsidP="00767B74">
            <w:pPr>
              <w:jc w:val="center"/>
              <w:rPr>
                <w:rFonts w:ascii="Calibri" w:eastAsia="Calibri" w:hAnsi="Calibri"/>
                <w:b/>
                <w:sz w:val="20"/>
                <w:lang w:val="sr-Latn-ME"/>
              </w:rPr>
            </w:pPr>
            <w:r w:rsidRPr="00727BD8">
              <w:rPr>
                <w:rFonts w:ascii="Calibri" w:eastAsia="Calibri" w:hAnsi="Calibri"/>
                <w:b/>
                <w:sz w:val="20"/>
                <w:lang w:val="sr-Latn-ME"/>
              </w:rPr>
              <w:t>389.908,05€</w:t>
            </w:r>
          </w:p>
        </w:tc>
        <w:tc>
          <w:tcPr>
            <w:tcW w:w="2976" w:type="dxa"/>
            <w:tcBorders>
              <w:left w:val="single" w:sz="12" w:space="0" w:color="auto"/>
              <w:bottom w:val="single" w:sz="12" w:space="0" w:color="auto"/>
              <w:right w:val="single" w:sz="12" w:space="0" w:color="auto"/>
            </w:tcBorders>
            <w:shd w:val="clear" w:color="auto" w:fill="auto"/>
          </w:tcPr>
          <w:p w:rsidR="007715E0" w:rsidRPr="00727BD8" w:rsidRDefault="007715E0" w:rsidP="00767B74">
            <w:pPr>
              <w:jc w:val="center"/>
              <w:rPr>
                <w:rFonts w:ascii="Calibri" w:eastAsia="Calibri" w:hAnsi="Calibri"/>
                <w:b/>
                <w:sz w:val="20"/>
                <w:lang w:val="sr-Latn-ME"/>
              </w:rPr>
            </w:pPr>
            <w:r w:rsidRPr="00727BD8">
              <w:rPr>
                <w:rFonts w:ascii="Calibri" w:eastAsia="Calibri" w:hAnsi="Calibri"/>
                <w:b/>
                <w:sz w:val="20"/>
                <w:lang w:val="sr-Latn-ME"/>
              </w:rPr>
              <w:t>309.097,14€</w:t>
            </w:r>
          </w:p>
        </w:tc>
      </w:tr>
    </w:tbl>
    <w:p w:rsidR="007715E0" w:rsidRPr="00B22D38" w:rsidRDefault="007715E0" w:rsidP="007715E0">
      <w:pPr>
        <w:rPr>
          <w:vanish/>
        </w:rPr>
      </w:pPr>
    </w:p>
    <w:tbl>
      <w:tblPr>
        <w:tblW w:w="8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2953"/>
      </w:tblGrid>
      <w:tr w:rsidR="007715E0" w:rsidRPr="00B22D38" w:rsidTr="00767B74">
        <w:trPr>
          <w:trHeight w:val="317"/>
        </w:trPr>
        <w:tc>
          <w:tcPr>
            <w:tcW w:w="2835" w:type="dxa"/>
            <w:vMerge w:val="restart"/>
            <w:tcBorders>
              <w:top w:val="single" w:sz="12" w:space="0" w:color="auto"/>
              <w:left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NAZIV TUŽILAŠTVA</w:t>
            </w:r>
          </w:p>
        </w:tc>
        <w:tc>
          <w:tcPr>
            <w:tcW w:w="5930" w:type="dxa"/>
            <w:gridSpan w:val="2"/>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TROŠKOVI</w:t>
            </w:r>
          </w:p>
        </w:tc>
      </w:tr>
      <w:tr w:rsidR="007715E0" w:rsidRPr="00B22D38" w:rsidTr="00767B74">
        <w:trPr>
          <w:trHeight w:val="317"/>
        </w:trPr>
        <w:tc>
          <w:tcPr>
            <w:tcW w:w="2835" w:type="dxa"/>
            <w:vMerge/>
            <w:tcBorders>
              <w:left w:val="single" w:sz="12" w:space="0" w:color="auto"/>
              <w:bottom w:val="single" w:sz="12" w:space="0" w:color="auto"/>
              <w:right w:val="single" w:sz="12" w:space="0" w:color="auto"/>
            </w:tcBorders>
            <w:shd w:val="clear" w:color="auto" w:fill="E7E6E6"/>
          </w:tcPr>
          <w:p w:rsidR="007715E0" w:rsidRPr="00B22D38" w:rsidRDefault="007715E0" w:rsidP="00767B74">
            <w:pPr>
              <w:rPr>
                <w:rFonts w:ascii="Calibri" w:eastAsia="Calibri" w:hAnsi="Calibri"/>
                <w:b/>
                <w:sz w:val="20"/>
              </w:rPr>
            </w:pPr>
          </w:p>
        </w:tc>
        <w:tc>
          <w:tcPr>
            <w:tcW w:w="2977"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2015</w:t>
            </w:r>
          </w:p>
        </w:tc>
        <w:tc>
          <w:tcPr>
            <w:tcW w:w="2953"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2016</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PODGORICA</w:t>
            </w:r>
          </w:p>
        </w:tc>
        <w:tc>
          <w:tcPr>
            <w:tcW w:w="2977" w:type="dxa"/>
            <w:tcBorders>
              <w:top w:val="single" w:sz="12" w:space="0" w:color="auto"/>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30.893,75 €</w:t>
            </w:r>
          </w:p>
        </w:tc>
        <w:tc>
          <w:tcPr>
            <w:tcW w:w="2953" w:type="dxa"/>
            <w:tcBorders>
              <w:top w:val="single" w:sz="12" w:space="0" w:color="auto"/>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19.578,10 €</w:t>
            </w:r>
          </w:p>
        </w:tc>
      </w:tr>
      <w:tr w:rsidR="007715E0" w:rsidRPr="00B22D38" w:rsidTr="00767B74">
        <w:trPr>
          <w:trHeight w:val="299"/>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NIKŠIĆ</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14.058 €</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13.368,50€</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KOTOR</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24.677,60€</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11.950,50 €</w:t>
            </w:r>
          </w:p>
        </w:tc>
      </w:tr>
      <w:tr w:rsidR="007715E0" w:rsidRPr="00B22D38" w:rsidTr="00767B74">
        <w:trPr>
          <w:trHeight w:val="299"/>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BAR</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HERCEG NOVI</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8.187,50 €</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6.959€</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ULCINJ</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 xml:space="preserve">100 </w:t>
            </w:r>
            <w:r w:rsidRPr="00B22D38">
              <w:rPr>
                <w:rFonts w:ascii="Calibri" w:eastAsia="Calibri" w:hAnsi="Calibri" w:cs="Calibri"/>
                <w:b/>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 xml:space="preserve">375 </w:t>
            </w:r>
            <w:r w:rsidRPr="00B22D38">
              <w:rPr>
                <w:rFonts w:ascii="Calibri" w:eastAsia="Calibri" w:hAnsi="Calibri" w:cs="Calibri"/>
                <w:b/>
                <w:sz w:val="20"/>
              </w:rPr>
              <w:t>€</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CETINJE</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BIJELO POLJE</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7.959,12€</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6.206,50 €</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BERANE</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1.125 €</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850 €</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lastRenderedPageBreak/>
              <w:t>OSNOVNO DRŽAVNO TUŽILAŠTVO PLJEVLJA</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 xml:space="preserve">512,5 </w:t>
            </w:r>
            <w:r w:rsidRPr="00B22D38">
              <w:rPr>
                <w:rFonts w:ascii="Calibri" w:eastAsia="Calibri" w:hAnsi="Calibri" w:cs="Calibri"/>
                <w:b/>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 xml:space="preserve">437.5 </w:t>
            </w:r>
            <w:r w:rsidRPr="00B22D38">
              <w:rPr>
                <w:rFonts w:ascii="Calibri" w:eastAsia="Calibri" w:hAnsi="Calibri" w:cs="Calibri"/>
                <w:b/>
                <w:sz w:val="20"/>
              </w:rPr>
              <w:t>€</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KOLAŠIN</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1.340 €</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3.750€</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ROŽAJE</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 xml:space="preserve">11.131,5 </w:t>
            </w:r>
            <w:r w:rsidRPr="00B22D38">
              <w:rPr>
                <w:rFonts w:ascii="Calibri" w:eastAsia="Calibri" w:hAnsi="Calibri" w:cs="Calibri"/>
                <w:b/>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 xml:space="preserve">7.773,88 </w:t>
            </w:r>
            <w:r w:rsidRPr="00B22D38">
              <w:rPr>
                <w:rFonts w:ascii="Calibri" w:eastAsia="Calibri" w:hAnsi="Calibri" w:cs="Calibri"/>
                <w:b/>
                <w:sz w:val="20"/>
              </w:rPr>
              <w:t>€</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OSNOVNO DRŽAVNO TUŽILAŠTVO PLAV</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1.075 €</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1.575 €</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b/>
                <w:sz w:val="20"/>
              </w:rPr>
            </w:pPr>
            <w:r w:rsidRPr="00B22D38">
              <w:rPr>
                <w:rFonts w:ascii="Calibri" w:eastAsia="Calibri" w:hAnsi="Calibri"/>
                <w:b/>
                <w:color w:val="FF0000"/>
                <w:sz w:val="20"/>
              </w:rPr>
              <w:t>UKUPNO OSNOVNA DRŽAVNA TUŽILAŠTVA</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color w:val="FF0000"/>
                <w:sz w:val="20"/>
              </w:rPr>
            </w:pPr>
            <w:r>
              <w:rPr>
                <w:rFonts w:ascii="Calibri" w:eastAsia="Calibri" w:hAnsi="Calibri"/>
                <w:b/>
                <w:color w:val="FF0000"/>
                <w:sz w:val="20"/>
              </w:rPr>
              <w:t xml:space="preserve">101.059,97 </w:t>
            </w:r>
            <w:r w:rsidRPr="00812F67">
              <w:rPr>
                <w:rFonts w:ascii="Calibri" w:eastAsia="Calibri" w:hAnsi="Calibri"/>
                <w:b/>
                <w:color w:val="FF0000"/>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color w:val="FF0000"/>
                <w:sz w:val="20"/>
              </w:rPr>
            </w:pPr>
            <w:r>
              <w:rPr>
                <w:rFonts w:ascii="Calibri" w:eastAsia="Calibri" w:hAnsi="Calibri"/>
                <w:b/>
                <w:color w:val="FF0000"/>
                <w:sz w:val="20"/>
              </w:rPr>
              <w:t xml:space="preserve">72.823,98 </w:t>
            </w:r>
            <w:r w:rsidRPr="00812F67">
              <w:rPr>
                <w:rFonts w:ascii="Calibri" w:eastAsia="Calibri" w:hAnsi="Calibri"/>
                <w:b/>
                <w:color w:val="FF0000"/>
                <w:sz w:val="20"/>
              </w:rPr>
              <w:t>€</w:t>
            </w:r>
          </w:p>
        </w:tc>
      </w:tr>
      <w:tr w:rsidR="007715E0"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VIŠE DRŽAVNO TUŽILAŠTVO PODGORICA</w:t>
            </w:r>
          </w:p>
        </w:tc>
        <w:tc>
          <w:tcPr>
            <w:tcW w:w="2977" w:type="dxa"/>
            <w:tcBorders>
              <w:left w:val="single" w:sz="12" w:space="0" w:color="auto"/>
              <w:right w:val="single" w:sz="12" w:space="0" w:color="auto"/>
            </w:tcBorders>
            <w:shd w:val="clear" w:color="auto" w:fill="auto"/>
            <w:vAlign w:val="center"/>
          </w:tcPr>
          <w:p w:rsidR="007715E0" w:rsidRPr="00812F67" w:rsidRDefault="007715E0" w:rsidP="00767B74">
            <w:pPr>
              <w:jc w:val="center"/>
              <w:rPr>
                <w:rFonts w:ascii="Calibri" w:eastAsia="Calibri" w:hAnsi="Calibri"/>
                <w:b/>
                <w:sz w:val="20"/>
              </w:rPr>
            </w:pPr>
            <w:r w:rsidRPr="00812F67">
              <w:rPr>
                <w:rFonts w:ascii="Calibri" w:eastAsia="Calibri" w:hAnsi="Calibri"/>
                <w:b/>
                <w:sz w:val="20"/>
              </w:rPr>
              <w:t>/</w:t>
            </w:r>
          </w:p>
        </w:tc>
        <w:tc>
          <w:tcPr>
            <w:tcW w:w="2953" w:type="dxa"/>
            <w:tcBorders>
              <w:left w:val="single" w:sz="12" w:space="0" w:color="auto"/>
              <w:right w:val="single" w:sz="12" w:space="0" w:color="auto"/>
            </w:tcBorders>
            <w:shd w:val="clear" w:color="auto" w:fill="auto"/>
            <w:vAlign w:val="center"/>
          </w:tcPr>
          <w:p w:rsidR="007715E0" w:rsidRPr="00812F67" w:rsidRDefault="007715E0" w:rsidP="00767B74">
            <w:pPr>
              <w:jc w:val="center"/>
              <w:rPr>
                <w:rFonts w:ascii="Calibri" w:eastAsia="Calibri" w:hAnsi="Calibri"/>
                <w:b/>
                <w:sz w:val="20"/>
              </w:rPr>
            </w:pPr>
            <w:r w:rsidRPr="00812F67">
              <w:rPr>
                <w:rFonts w:ascii="Calibri" w:eastAsia="Calibri" w:hAnsi="Calibri"/>
                <w:b/>
                <w:sz w:val="20"/>
              </w:rPr>
              <w:t>/</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sidRPr="00B22D38">
              <w:rPr>
                <w:rFonts w:ascii="Calibri" w:eastAsia="Calibri" w:hAnsi="Calibri"/>
                <w:sz w:val="20"/>
              </w:rPr>
              <w:t>VIŠE DRŽAVNO TUŽILAŠTVO BIJELO POLJE</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77.121,53 €</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sidRPr="00B22D38">
              <w:rPr>
                <w:rFonts w:ascii="Calibri" w:eastAsia="Calibri" w:hAnsi="Calibri"/>
                <w:b/>
                <w:sz w:val="20"/>
              </w:rPr>
              <w:t>53.683,35 €</w:t>
            </w:r>
          </w:p>
        </w:tc>
      </w:tr>
      <w:tr w:rsidR="007715E0" w:rsidRPr="00B22D38" w:rsidTr="00767B74">
        <w:trPr>
          <w:trHeight w:val="317"/>
        </w:trPr>
        <w:tc>
          <w:tcPr>
            <w:tcW w:w="2835" w:type="dxa"/>
            <w:tcBorders>
              <w:top w:val="single" w:sz="12" w:space="0" w:color="auto"/>
              <w:left w:val="single" w:sz="12" w:space="0" w:color="auto"/>
              <w:bottom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Pr>
                <w:rFonts w:ascii="Calibri" w:eastAsia="Calibri" w:hAnsi="Calibri"/>
                <w:sz w:val="20"/>
              </w:rPr>
              <w:t xml:space="preserve">SPECIJALNO DRŽAVNO TUŽILAŠTVO </w:t>
            </w:r>
            <w:r>
              <w:rPr>
                <w:rStyle w:val="FootnoteReference"/>
                <w:rFonts w:ascii="Calibri" w:eastAsia="Calibri" w:hAnsi="Calibri"/>
                <w:sz w:val="20"/>
              </w:rPr>
              <w:footnoteReference w:id="20"/>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20.520, 97</w:t>
            </w:r>
            <w:r w:rsidRPr="00B22D38">
              <w:rPr>
                <w:rFonts w:ascii="Calibri" w:eastAsia="Calibri" w:hAnsi="Calibri"/>
                <w:b/>
                <w:sz w:val="20"/>
              </w:rPr>
              <w:t>€</w:t>
            </w:r>
          </w:p>
        </w:tc>
      </w:tr>
      <w:tr w:rsidR="007715E0" w:rsidRPr="00B22D38" w:rsidTr="00767B74">
        <w:trPr>
          <w:trHeight w:val="317"/>
        </w:trPr>
        <w:tc>
          <w:tcPr>
            <w:tcW w:w="2835" w:type="dxa"/>
            <w:tcBorders>
              <w:top w:val="single" w:sz="12" w:space="0" w:color="auto"/>
              <w:left w:val="single" w:sz="12" w:space="0" w:color="auto"/>
              <w:right w:val="single" w:sz="12" w:space="0" w:color="auto"/>
            </w:tcBorders>
            <w:shd w:val="clear" w:color="auto" w:fill="E7E6E6"/>
            <w:vAlign w:val="center"/>
          </w:tcPr>
          <w:p w:rsidR="007715E0" w:rsidRPr="00B22D38" w:rsidRDefault="007715E0" w:rsidP="00767B74">
            <w:pPr>
              <w:rPr>
                <w:rFonts w:ascii="Calibri" w:eastAsia="Calibri" w:hAnsi="Calibri"/>
                <w:sz w:val="20"/>
              </w:rPr>
            </w:pPr>
            <w:r>
              <w:rPr>
                <w:rFonts w:ascii="Calibri" w:eastAsia="Calibri" w:hAnsi="Calibri"/>
                <w:sz w:val="20"/>
              </w:rPr>
              <w:t xml:space="preserve">UKUPNI TROŠKOVI </w:t>
            </w:r>
          </w:p>
        </w:tc>
        <w:tc>
          <w:tcPr>
            <w:tcW w:w="2977"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 xml:space="preserve">1.002,747 </w:t>
            </w:r>
            <w:r w:rsidRPr="00B22D38">
              <w:rPr>
                <w:rFonts w:ascii="Calibri" w:eastAsia="Calibri" w:hAnsi="Calibri"/>
                <w:b/>
                <w:sz w:val="20"/>
              </w:rPr>
              <w:t>€</w:t>
            </w:r>
          </w:p>
        </w:tc>
        <w:tc>
          <w:tcPr>
            <w:tcW w:w="2953" w:type="dxa"/>
            <w:tcBorders>
              <w:left w:val="single" w:sz="12" w:space="0" w:color="auto"/>
              <w:right w:val="single" w:sz="12" w:space="0" w:color="auto"/>
            </w:tcBorders>
            <w:shd w:val="clear" w:color="auto" w:fill="auto"/>
            <w:vAlign w:val="center"/>
          </w:tcPr>
          <w:p w:rsidR="007715E0" w:rsidRPr="00B22D38" w:rsidRDefault="007715E0" w:rsidP="00767B74">
            <w:pPr>
              <w:jc w:val="center"/>
              <w:rPr>
                <w:rFonts w:ascii="Calibri" w:eastAsia="Calibri" w:hAnsi="Calibri"/>
                <w:b/>
                <w:sz w:val="20"/>
              </w:rPr>
            </w:pPr>
            <w:r>
              <w:rPr>
                <w:rFonts w:ascii="Calibri" w:eastAsia="Calibri" w:hAnsi="Calibri"/>
                <w:b/>
                <w:sz w:val="20"/>
              </w:rPr>
              <w:t xml:space="preserve">893.218 </w:t>
            </w:r>
            <w:r w:rsidRPr="00B22D38">
              <w:rPr>
                <w:rFonts w:ascii="Calibri" w:eastAsia="Calibri" w:hAnsi="Calibri"/>
                <w:b/>
                <w:sz w:val="20"/>
              </w:rPr>
              <w:t>€</w:t>
            </w:r>
          </w:p>
        </w:tc>
      </w:tr>
    </w:tbl>
    <w:p w:rsidR="007715E0" w:rsidRDefault="007715E0" w:rsidP="007715E0">
      <w:pPr>
        <w:rPr>
          <w:rFonts w:eastAsia="Calibri"/>
          <w:lang w:val="sr-Latn-ME"/>
        </w:rPr>
      </w:pPr>
    </w:p>
    <w:p w:rsidR="007715E0" w:rsidRDefault="007715E0" w:rsidP="007715E0">
      <w:pPr>
        <w:jc w:val="both"/>
        <w:rPr>
          <w:rFonts w:eastAsia="Calibri"/>
          <w:lang w:val="sr-Latn-ME"/>
        </w:rPr>
      </w:pPr>
      <w:r>
        <w:rPr>
          <w:rFonts w:eastAsia="Calibri"/>
          <w:lang w:val="sr-Latn-ME"/>
        </w:rPr>
        <w:t xml:space="preserve">Koliko državni buđžet koštaju službene odbrane pokazuju podaci prikazani u gornjoj tabeli, koji su dostavljeni od sudova i tužilaštava za dvogodišnji period od 2015. – 2016. godine. Na osnovu njih se može vidjeti da je ukupan iznos isplaćenih sredstava za 2015. godinu bio </w:t>
      </w:r>
      <w:r w:rsidRPr="00742DD0">
        <w:rPr>
          <w:rFonts w:eastAsia="Calibri"/>
          <w:b/>
          <w:lang w:val="sr-Latn-ME"/>
        </w:rPr>
        <w:t>1.002, 774 eura,</w:t>
      </w:r>
      <w:r>
        <w:rPr>
          <w:rFonts w:eastAsia="Calibri"/>
          <w:lang w:val="sr-Latn-ME"/>
        </w:rPr>
        <w:t xml:space="preserve"> dok je u 2016. godini taj iznos bio nešto manji –</w:t>
      </w:r>
      <w:r w:rsidRPr="00742DD0">
        <w:rPr>
          <w:rFonts w:ascii="Calibri" w:eastAsia="Calibri" w:hAnsi="Calibri"/>
          <w:b/>
          <w:sz w:val="20"/>
        </w:rPr>
        <w:t xml:space="preserve">893.218 </w:t>
      </w:r>
      <w:r w:rsidRPr="00742DD0">
        <w:rPr>
          <w:rFonts w:eastAsia="Calibri"/>
          <w:b/>
          <w:lang w:val="sr-Latn-ME"/>
        </w:rPr>
        <w:t>eura.</w:t>
      </w:r>
      <w:r>
        <w:rPr>
          <w:rFonts w:eastAsia="Calibri"/>
          <w:lang w:val="sr-Latn-ME"/>
        </w:rPr>
        <w:t xml:space="preserve"> Bitno je napomenuti da ovdje nedostaju podaci o ukupnim  troškovima na nivou Višeg državnog tužilaštva u Podgorici i Osnovnog državnog tužilaštva u Baru, tako da je u praksi ukupan iznos islaćenih novčanih sredstava bio i veći. </w:t>
      </w:r>
    </w:p>
    <w:p w:rsidR="007715E0" w:rsidRDefault="007715E0" w:rsidP="007715E0">
      <w:pPr>
        <w:rPr>
          <w:rFonts w:eastAsia="Calibri"/>
          <w:lang w:val="sr-Latn-ME"/>
        </w:rPr>
      </w:pPr>
    </w:p>
    <w:p w:rsidR="004549D6" w:rsidRDefault="004549D6" w:rsidP="007715E0">
      <w:pPr>
        <w:rPr>
          <w:rFonts w:eastAsia="Calibri"/>
          <w:lang w:val="sr-Latn-ME"/>
        </w:rPr>
      </w:pPr>
    </w:p>
    <w:p w:rsidR="004549D6" w:rsidRDefault="004549D6" w:rsidP="007715E0">
      <w:pPr>
        <w:rPr>
          <w:rFonts w:eastAsia="Calibri"/>
          <w:lang w:val="sr-Latn-ME"/>
        </w:rPr>
      </w:pPr>
    </w:p>
    <w:p w:rsidR="007715E0" w:rsidRPr="00E92667" w:rsidRDefault="007715E0" w:rsidP="007715E0">
      <w:pPr>
        <w:rPr>
          <w:b/>
          <w:color w:val="1F497D"/>
          <w:sz w:val="28"/>
          <w:szCs w:val="28"/>
          <w:lang w:val="sr-Latn-RS"/>
        </w:rPr>
      </w:pPr>
      <w:r>
        <w:rPr>
          <w:rFonts w:eastAsia="Calibri"/>
          <w:b/>
          <w:i/>
          <w:lang w:val="sr-Latn-ME"/>
        </w:rPr>
        <w:t>4.1.3. Tabelarni prikaz službenih odbrana pred Višim sudovima i prikaz zastupljenosti odbrana po braniocima</w:t>
      </w:r>
    </w:p>
    <w:p w:rsidR="007715E0" w:rsidRPr="00E92667" w:rsidRDefault="007715E0" w:rsidP="007715E0">
      <w:pPr>
        <w:jc w:val="center"/>
        <w:rPr>
          <w:b/>
          <w:color w:val="1F497D"/>
          <w:sz w:val="28"/>
          <w:szCs w:val="28"/>
          <w:lang w:val="sr-Latn-RS"/>
        </w:rPr>
      </w:pPr>
    </w:p>
    <w:tbl>
      <w:tblPr>
        <w:tblW w:w="10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5"/>
        <w:gridCol w:w="2555"/>
        <w:gridCol w:w="2556"/>
        <w:gridCol w:w="2556"/>
      </w:tblGrid>
      <w:tr w:rsidR="007715E0" w:rsidRPr="00E777A9" w:rsidTr="00767B74">
        <w:trPr>
          <w:trHeight w:val="522"/>
        </w:trPr>
        <w:tc>
          <w:tcPr>
            <w:tcW w:w="2555" w:type="dxa"/>
            <w:tcBorders>
              <w:top w:val="single" w:sz="4" w:space="0" w:color="FFFFFF"/>
              <w:left w:val="single" w:sz="4" w:space="0" w:color="FFFFFF"/>
              <w:right w:val="nil"/>
            </w:tcBorders>
            <w:shd w:val="clear" w:color="auto" w:fill="4472C4"/>
          </w:tcPr>
          <w:p w:rsidR="007715E0" w:rsidRPr="00E777A9" w:rsidRDefault="007715E0" w:rsidP="00767B74">
            <w:pPr>
              <w:rPr>
                <w:rFonts w:ascii="Calibri" w:eastAsia="Calibri" w:hAnsi="Calibri"/>
                <w:b/>
                <w:bCs/>
                <w:color w:val="FFFFFF"/>
              </w:rPr>
            </w:pPr>
            <w:bookmarkStart w:id="3" w:name="_Hlk478818582"/>
            <w:bookmarkEnd w:id="3"/>
          </w:p>
        </w:tc>
        <w:tc>
          <w:tcPr>
            <w:tcW w:w="2555" w:type="dxa"/>
            <w:tcBorders>
              <w:top w:val="single" w:sz="4" w:space="0" w:color="FFFFFF"/>
              <w:left w:val="nil"/>
              <w:right w:val="nil"/>
            </w:tcBorders>
            <w:shd w:val="clear" w:color="auto" w:fill="4472C4"/>
          </w:tcPr>
          <w:p w:rsidR="007715E0" w:rsidRPr="00E777A9" w:rsidRDefault="007715E0" w:rsidP="00767B74">
            <w:pPr>
              <w:jc w:val="center"/>
              <w:rPr>
                <w:rFonts w:ascii="Calibri" w:eastAsia="Calibri" w:hAnsi="Calibri"/>
                <w:b/>
                <w:bCs/>
                <w:color w:val="FFFFFF"/>
              </w:rPr>
            </w:pPr>
            <w:r w:rsidRPr="00E777A9">
              <w:rPr>
                <w:rFonts w:ascii="Calibri" w:eastAsia="Calibri" w:hAnsi="Calibri"/>
                <w:b/>
                <w:bCs/>
                <w:color w:val="FFFFFF"/>
              </w:rPr>
              <w:t>2015</w:t>
            </w:r>
          </w:p>
        </w:tc>
        <w:tc>
          <w:tcPr>
            <w:tcW w:w="2556" w:type="dxa"/>
            <w:tcBorders>
              <w:top w:val="single" w:sz="4" w:space="0" w:color="FFFFFF"/>
              <w:left w:val="nil"/>
              <w:right w:val="nil"/>
            </w:tcBorders>
            <w:shd w:val="clear" w:color="auto" w:fill="4472C4"/>
          </w:tcPr>
          <w:p w:rsidR="007715E0" w:rsidRPr="00E777A9" w:rsidRDefault="007715E0" w:rsidP="00767B74">
            <w:pPr>
              <w:jc w:val="center"/>
              <w:rPr>
                <w:rFonts w:ascii="Calibri" w:eastAsia="Calibri" w:hAnsi="Calibri"/>
                <w:b/>
                <w:bCs/>
                <w:color w:val="FFFFFF"/>
              </w:rPr>
            </w:pPr>
            <w:r w:rsidRPr="00E777A9">
              <w:rPr>
                <w:rFonts w:ascii="Calibri" w:eastAsia="Calibri" w:hAnsi="Calibri"/>
                <w:b/>
                <w:bCs/>
                <w:color w:val="FFFFFF"/>
              </w:rPr>
              <w:t>2016</w:t>
            </w:r>
          </w:p>
        </w:tc>
        <w:tc>
          <w:tcPr>
            <w:tcW w:w="2556" w:type="dxa"/>
            <w:tcBorders>
              <w:top w:val="single" w:sz="4" w:space="0" w:color="FFFFFF"/>
              <w:left w:val="nil"/>
              <w:right w:val="single" w:sz="4" w:space="0" w:color="FFFFFF"/>
            </w:tcBorders>
            <w:shd w:val="clear" w:color="auto" w:fill="4472C4"/>
          </w:tcPr>
          <w:p w:rsidR="007715E0" w:rsidRPr="00E777A9" w:rsidRDefault="007715E0" w:rsidP="00767B74">
            <w:pPr>
              <w:jc w:val="center"/>
              <w:rPr>
                <w:rFonts w:ascii="Calibri" w:eastAsia="Calibri" w:hAnsi="Calibri"/>
                <w:b/>
                <w:bCs/>
                <w:color w:val="FFFFFF"/>
              </w:rPr>
            </w:pPr>
            <w:r w:rsidRPr="00E777A9">
              <w:rPr>
                <w:rFonts w:ascii="Calibri" w:eastAsia="Calibri" w:hAnsi="Calibri"/>
                <w:b/>
                <w:bCs/>
                <w:color w:val="FFFFFF"/>
              </w:rPr>
              <w:t>2015-2016</w:t>
            </w:r>
          </w:p>
        </w:tc>
      </w:tr>
      <w:tr w:rsidR="007715E0" w:rsidRPr="00E777A9" w:rsidTr="00767B74">
        <w:trPr>
          <w:trHeight w:val="937"/>
        </w:trPr>
        <w:tc>
          <w:tcPr>
            <w:tcW w:w="2555" w:type="dxa"/>
            <w:tcBorders>
              <w:top w:val="single" w:sz="4" w:space="0" w:color="FFFFFF"/>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lastRenderedPageBreak/>
              <w:t>Ukupan broj branilaca koji su stupili na dužnost</w:t>
            </w:r>
          </w:p>
        </w:tc>
        <w:tc>
          <w:tcPr>
            <w:tcW w:w="2555"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69</w:t>
            </w:r>
          </w:p>
        </w:tc>
        <w:tc>
          <w:tcPr>
            <w:tcW w:w="2556"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47</w:t>
            </w:r>
          </w:p>
        </w:tc>
        <w:tc>
          <w:tcPr>
            <w:tcW w:w="2556"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108</w:t>
            </w:r>
          </w:p>
        </w:tc>
      </w:tr>
      <w:tr w:rsidR="007715E0" w:rsidRPr="00E777A9" w:rsidTr="00767B74">
        <w:trPr>
          <w:trHeight w:val="630"/>
        </w:trPr>
        <w:tc>
          <w:tcPr>
            <w:tcW w:w="2555"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 xml:space="preserve">Broj branilaca koji su branili jednom </w:t>
            </w:r>
          </w:p>
        </w:tc>
        <w:tc>
          <w:tcPr>
            <w:tcW w:w="2555"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 xml:space="preserve">52 </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(75.4%)</w:t>
            </w:r>
          </w:p>
        </w:tc>
        <w:tc>
          <w:tcPr>
            <w:tcW w:w="2556"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 xml:space="preserve">38 </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(80.8%)</w:t>
            </w:r>
          </w:p>
        </w:tc>
        <w:tc>
          <w:tcPr>
            <w:tcW w:w="2556"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 xml:space="preserve">86 </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(79.6%)</w:t>
            </w:r>
          </w:p>
        </w:tc>
      </w:tr>
      <w:tr w:rsidR="007715E0" w:rsidRPr="00E777A9" w:rsidTr="00767B74">
        <w:trPr>
          <w:trHeight w:val="630"/>
        </w:trPr>
        <w:tc>
          <w:tcPr>
            <w:tcW w:w="2555"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Broj branilaca koji su branili 2 ili više puta</w:t>
            </w:r>
          </w:p>
        </w:tc>
        <w:tc>
          <w:tcPr>
            <w:tcW w:w="2555"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17</w:t>
            </w:r>
            <w:r w:rsidRPr="00E777A9">
              <w:rPr>
                <w:rFonts w:ascii="Calibri" w:eastAsia="Calibri" w:hAnsi="Calibri"/>
                <w:b/>
                <w:color w:val="4F81BD"/>
              </w:rPr>
              <w:br/>
              <w:t>(24.6%)</w:t>
            </w:r>
          </w:p>
        </w:tc>
        <w:tc>
          <w:tcPr>
            <w:tcW w:w="2556"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9</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(19.2%)</w:t>
            </w:r>
          </w:p>
        </w:tc>
        <w:tc>
          <w:tcPr>
            <w:tcW w:w="2556"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22</w:t>
            </w:r>
            <w:r w:rsidRPr="00E777A9">
              <w:rPr>
                <w:rFonts w:ascii="Calibri" w:eastAsia="Calibri" w:hAnsi="Calibri"/>
                <w:b/>
                <w:color w:val="4F81BD"/>
              </w:rPr>
              <w:br/>
              <w:t>(20.4%)</w:t>
            </w:r>
          </w:p>
        </w:tc>
      </w:tr>
      <w:tr w:rsidR="007715E0" w:rsidRPr="00E777A9" w:rsidTr="00767B74">
        <w:trPr>
          <w:trHeight w:val="507"/>
        </w:trPr>
        <w:tc>
          <w:tcPr>
            <w:tcW w:w="2555"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Ukupan broj slučajeva</w:t>
            </w:r>
          </w:p>
        </w:tc>
        <w:tc>
          <w:tcPr>
            <w:tcW w:w="2555"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94</w:t>
            </w:r>
          </w:p>
        </w:tc>
        <w:tc>
          <w:tcPr>
            <w:tcW w:w="2556"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64</w:t>
            </w:r>
          </w:p>
        </w:tc>
        <w:tc>
          <w:tcPr>
            <w:tcW w:w="2556"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158</w:t>
            </w:r>
          </w:p>
        </w:tc>
      </w:tr>
      <w:tr w:rsidR="007715E0" w:rsidRPr="00E777A9" w:rsidTr="00767B74">
        <w:trPr>
          <w:trHeight w:val="522"/>
        </w:trPr>
        <w:tc>
          <w:tcPr>
            <w:tcW w:w="2555"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Broj advokata na listi</w:t>
            </w:r>
          </w:p>
        </w:tc>
        <w:tc>
          <w:tcPr>
            <w:tcW w:w="2555"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761</w:t>
            </w:r>
          </w:p>
        </w:tc>
        <w:tc>
          <w:tcPr>
            <w:tcW w:w="2556"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802</w:t>
            </w:r>
          </w:p>
        </w:tc>
        <w:tc>
          <w:tcPr>
            <w:tcW w:w="2556"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781</w:t>
            </w:r>
          </w:p>
        </w:tc>
      </w:tr>
      <w:tr w:rsidR="007715E0" w:rsidRPr="00E777A9" w:rsidTr="00767B74">
        <w:trPr>
          <w:trHeight w:val="630"/>
        </w:trPr>
        <w:tc>
          <w:tcPr>
            <w:tcW w:w="2555" w:type="dxa"/>
            <w:tcBorders>
              <w:left w:val="single" w:sz="4" w:space="0" w:color="FFFFFF"/>
              <w:bottom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 xml:space="preserve">Broj branilaca koji nije </w:t>
            </w:r>
            <w:r>
              <w:rPr>
                <w:rFonts w:ascii="Calibri" w:eastAsia="Calibri" w:hAnsi="Calibri"/>
                <w:b/>
                <w:bCs/>
                <w:color w:val="FFFFFF"/>
              </w:rPr>
              <w:t>nijednom postvaljan</w:t>
            </w:r>
          </w:p>
        </w:tc>
        <w:tc>
          <w:tcPr>
            <w:tcW w:w="2555"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 xml:space="preserve">692 </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(90.9%)</w:t>
            </w:r>
          </w:p>
        </w:tc>
        <w:tc>
          <w:tcPr>
            <w:tcW w:w="2556"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755</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(94.1%)</w:t>
            </w:r>
          </w:p>
        </w:tc>
        <w:tc>
          <w:tcPr>
            <w:tcW w:w="2556"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673</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(86.2%)</w:t>
            </w:r>
          </w:p>
        </w:tc>
      </w:tr>
    </w:tbl>
    <w:p w:rsidR="007715E0" w:rsidRPr="00E92667" w:rsidRDefault="007715E0" w:rsidP="007715E0">
      <w:pPr>
        <w:jc w:val="center"/>
        <w:rPr>
          <w:b/>
          <w:noProof/>
          <w:color w:val="1F497D"/>
          <w:sz w:val="28"/>
          <w:szCs w:val="28"/>
        </w:rPr>
      </w:pPr>
    </w:p>
    <w:p w:rsidR="007715E0" w:rsidRPr="00E92667" w:rsidRDefault="007715E0" w:rsidP="007715E0">
      <w:pPr>
        <w:jc w:val="center"/>
        <w:rPr>
          <w:b/>
          <w:noProof/>
          <w:color w:val="1F497D"/>
          <w:sz w:val="28"/>
          <w:szCs w:val="28"/>
        </w:rPr>
      </w:pPr>
    </w:p>
    <w:p w:rsidR="007715E0" w:rsidRPr="00E92667" w:rsidRDefault="007715E0" w:rsidP="007715E0">
      <w:pPr>
        <w:jc w:val="center"/>
        <w:rPr>
          <w:b/>
          <w:color w:val="4F81BD"/>
          <w:sz w:val="28"/>
          <w:szCs w:val="28"/>
          <w:lang w:val="sr-Latn-RS"/>
        </w:rPr>
      </w:pPr>
      <w:r w:rsidRPr="00E92667">
        <w:rPr>
          <w:b/>
          <w:color w:val="4F81BD"/>
          <w:sz w:val="28"/>
          <w:szCs w:val="28"/>
          <w:lang w:val="sr-Latn-RS"/>
        </w:rPr>
        <w:t xml:space="preserve">Prikaz zastupljenosti </w:t>
      </w:r>
      <w:r>
        <w:rPr>
          <w:b/>
          <w:color w:val="4F81BD"/>
          <w:sz w:val="28"/>
          <w:szCs w:val="28"/>
          <w:lang w:val="sr-Latn-RS"/>
        </w:rPr>
        <w:t xml:space="preserve">službenih odbrana </w:t>
      </w:r>
      <w:r w:rsidRPr="00E92667">
        <w:rPr>
          <w:b/>
          <w:color w:val="4F81BD"/>
          <w:sz w:val="28"/>
          <w:szCs w:val="28"/>
          <w:lang w:val="sr-Latn-RS"/>
        </w:rPr>
        <w:t xml:space="preserve"> za 2015. i 2016. godinu </w:t>
      </w:r>
    </w:p>
    <w:p w:rsidR="007715E0" w:rsidRPr="00E92667" w:rsidRDefault="007715E0" w:rsidP="007715E0">
      <w:pPr>
        <w:spacing w:after="160" w:line="259" w:lineRule="auto"/>
        <w:rPr>
          <w:b/>
          <w:color w:val="1F497D"/>
          <w:sz w:val="28"/>
          <w:szCs w:val="28"/>
          <w:lang w:val="sr-Latn-RS"/>
        </w:rPr>
      </w:pPr>
      <w:r>
        <w:rPr>
          <w:b/>
          <w:noProof/>
          <w:color w:val="1F497D"/>
          <w:sz w:val="28"/>
          <w:szCs w:val="28"/>
          <w:lang w:val="sr-Latn-ME" w:eastAsia="sr-Latn-ME"/>
        </w:rPr>
        <w:drawing>
          <wp:inline distT="0" distB="0" distL="0" distR="0">
            <wp:extent cx="6324600" cy="3209925"/>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15E0" w:rsidRDefault="007715E0" w:rsidP="007715E0">
      <w:pPr>
        <w:rPr>
          <w:b/>
          <w:i/>
        </w:rPr>
      </w:pPr>
      <w:r>
        <w:rPr>
          <w:b/>
          <w:i/>
        </w:rPr>
        <w:t xml:space="preserve">4.1.4. </w:t>
      </w:r>
      <w:r w:rsidRPr="00DC65FE">
        <w:rPr>
          <w:b/>
          <w:i/>
        </w:rPr>
        <w:t>Tabelarni prikaz službenih odbrana pred Osnovnim sudovima</w:t>
      </w:r>
      <w:r>
        <w:rPr>
          <w:b/>
          <w:i/>
        </w:rPr>
        <w:t xml:space="preserve"> i prikaz zastupljenosti odbrana po braniocima </w:t>
      </w:r>
      <w:r>
        <w:rPr>
          <w:rStyle w:val="FootnoteReference"/>
          <w:b/>
          <w:i/>
        </w:rPr>
        <w:footnoteReference w:id="21"/>
      </w:r>
    </w:p>
    <w:p w:rsidR="007715E0" w:rsidRDefault="007715E0" w:rsidP="007715E0">
      <w:pPr>
        <w:rPr>
          <w:b/>
          <w:i/>
        </w:rPr>
      </w:pPr>
    </w:p>
    <w:p w:rsidR="007715E0" w:rsidRPr="00EA2357" w:rsidRDefault="007715E0" w:rsidP="007715E0">
      <w:pPr>
        <w:pStyle w:val="ListParagraph"/>
        <w:ind w:left="0"/>
        <w:rPr>
          <w:i/>
          <w:color w:val="4F81BD"/>
          <w:sz w:val="28"/>
          <w:szCs w:val="28"/>
          <w:lang w:val="sr-Latn-RS"/>
        </w:rPr>
      </w:pPr>
    </w:p>
    <w:tbl>
      <w:tblPr>
        <w:tblW w:w="10368" w:type="dxa"/>
        <w:tblInd w:w="-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65"/>
        <w:gridCol w:w="2536"/>
        <w:gridCol w:w="2333"/>
        <w:gridCol w:w="2334"/>
      </w:tblGrid>
      <w:tr w:rsidR="007715E0" w:rsidRPr="00EA2357" w:rsidTr="004549D6">
        <w:trPr>
          <w:trHeight w:val="249"/>
        </w:trPr>
        <w:tc>
          <w:tcPr>
            <w:tcW w:w="3165" w:type="dxa"/>
            <w:tcBorders>
              <w:top w:val="single" w:sz="4" w:space="0" w:color="FFFFFF"/>
              <w:left w:val="single" w:sz="4" w:space="0" w:color="FFFFFF"/>
              <w:right w:val="nil"/>
            </w:tcBorders>
            <w:shd w:val="clear" w:color="auto" w:fill="4472C4"/>
          </w:tcPr>
          <w:p w:rsidR="007715E0" w:rsidRPr="00E777A9" w:rsidRDefault="007715E0" w:rsidP="00767B74">
            <w:pPr>
              <w:rPr>
                <w:rFonts w:ascii="Calibri" w:eastAsia="Calibri" w:hAnsi="Calibri"/>
                <w:bCs/>
                <w:color w:val="FFFFFF"/>
              </w:rPr>
            </w:pPr>
          </w:p>
        </w:tc>
        <w:tc>
          <w:tcPr>
            <w:tcW w:w="2536" w:type="dxa"/>
            <w:tcBorders>
              <w:top w:val="single" w:sz="4" w:space="0" w:color="FFFFFF"/>
              <w:left w:val="nil"/>
              <w:right w:val="nil"/>
            </w:tcBorders>
            <w:shd w:val="clear" w:color="auto" w:fill="4472C4"/>
          </w:tcPr>
          <w:p w:rsidR="007715E0" w:rsidRPr="00E777A9" w:rsidRDefault="007715E0" w:rsidP="00767B74">
            <w:pPr>
              <w:jc w:val="center"/>
              <w:rPr>
                <w:rFonts w:ascii="Calibri" w:eastAsia="Calibri" w:hAnsi="Calibri"/>
                <w:bCs/>
                <w:color w:val="FFFFFF"/>
              </w:rPr>
            </w:pPr>
            <w:r w:rsidRPr="00E777A9">
              <w:rPr>
                <w:rFonts w:ascii="Calibri" w:eastAsia="Calibri" w:hAnsi="Calibri"/>
                <w:bCs/>
                <w:color w:val="FFFFFF"/>
              </w:rPr>
              <w:t>2015</w:t>
            </w:r>
          </w:p>
        </w:tc>
        <w:tc>
          <w:tcPr>
            <w:tcW w:w="2333" w:type="dxa"/>
            <w:tcBorders>
              <w:top w:val="single" w:sz="4" w:space="0" w:color="FFFFFF"/>
              <w:left w:val="nil"/>
              <w:right w:val="nil"/>
            </w:tcBorders>
            <w:shd w:val="clear" w:color="auto" w:fill="4472C4"/>
          </w:tcPr>
          <w:p w:rsidR="007715E0" w:rsidRPr="00E777A9" w:rsidRDefault="007715E0" w:rsidP="00767B74">
            <w:pPr>
              <w:jc w:val="center"/>
              <w:rPr>
                <w:rFonts w:ascii="Calibri" w:eastAsia="Calibri" w:hAnsi="Calibri"/>
                <w:bCs/>
                <w:color w:val="FFFFFF"/>
              </w:rPr>
            </w:pPr>
            <w:r w:rsidRPr="00E777A9">
              <w:rPr>
                <w:rFonts w:ascii="Calibri" w:eastAsia="Calibri" w:hAnsi="Calibri"/>
                <w:bCs/>
                <w:color w:val="FFFFFF"/>
              </w:rPr>
              <w:t>2016</w:t>
            </w:r>
          </w:p>
        </w:tc>
        <w:tc>
          <w:tcPr>
            <w:tcW w:w="2334" w:type="dxa"/>
            <w:tcBorders>
              <w:top w:val="single" w:sz="4" w:space="0" w:color="FFFFFF"/>
              <w:left w:val="nil"/>
              <w:right w:val="single" w:sz="4" w:space="0" w:color="FFFFFF"/>
            </w:tcBorders>
            <w:shd w:val="clear" w:color="auto" w:fill="4472C4"/>
          </w:tcPr>
          <w:p w:rsidR="007715E0" w:rsidRPr="00E777A9" w:rsidRDefault="007715E0" w:rsidP="00767B74">
            <w:pPr>
              <w:jc w:val="center"/>
              <w:rPr>
                <w:rFonts w:ascii="Calibri" w:eastAsia="Calibri" w:hAnsi="Calibri"/>
                <w:bCs/>
                <w:color w:val="FFFFFF"/>
              </w:rPr>
            </w:pPr>
            <w:r w:rsidRPr="00E777A9">
              <w:rPr>
                <w:rFonts w:ascii="Calibri" w:eastAsia="Calibri" w:hAnsi="Calibri"/>
                <w:bCs/>
                <w:color w:val="FFFFFF"/>
              </w:rPr>
              <w:t>2015-2016</w:t>
            </w:r>
          </w:p>
        </w:tc>
      </w:tr>
      <w:tr w:rsidR="007715E0" w:rsidRPr="00EA2357" w:rsidTr="004549D6">
        <w:trPr>
          <w:trHeight w:val="582"/>
        </w:trPr>
        <w:tc>
          <w:tcPr>
            <w:tcW w:w="3165" w:type="dxa"/>
            <w:tcBorders>
              <w:top w:val="single" w:sz="4" w:space="0" w:color="FFFFFF"/>
              <w:left w:val="single" w:sz="4" w:space="0" w:color="FFFFFF"/>
            </w:tcBorders>
            <w:shd w:val="clear" w:color="auto" w:fill="4472C4"/>
          </w:tcPr>
          <w:p w:rsidR="007715E0" w:rsidRPr="00E777A9" w:rsidRDefault="007715E0" w:rsidP="00767B74">
            <w:pPr>
              <w:rPr>
                <w:rFonts w:ascii="Calibri" w:eastAsia="Calibri" w:hAnsi="Calibri"/>
                <w:bCs/>
                <w:color w:val="FFFFFF"/>
              </w:rPr>
            </w:pPr>
            <w:r w:rsidRPr="00E777A9">
              <w:rPr>
                <w:rFonts w:ascii="Calibri" w:eastAsia="Calibri" w:hAnsi="Calibri"/>
                <w:bCs/>
                <w:color w:val="FFFFFF"/>
              </w:rPr>
              <w:t>Ukupan broj branilaca koji su stupili na dužnost</w:t>
            </w:r>
            <w:r w:rsidRPr="00E777A9">
              <w:rPr>
                <w:rFonts w:ascii="Calibri" w:eastAsia="Calibri" w:hAnsi="Calibri"/>
                <w:bCs/>
                <w:color w:val="FFFFFF"/>
                <w:sz w:val="18"/>
                <w:szCs w:val="18"/>
              </w:rPr>
              <w:t xml:space="preserve"> </w:t>
            </w:r>
          </w:p>
        </w:tc>
        <w:tc>
          <w:tcPr>
            <w:tcW w:w="2536"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145</w:t>
            </w:r>
          </w:p>
        </w:tc>
        <w:tc>
          <w:tcPr>
            <w:tcW w:w="2333"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117</w:t>
            </w:r>
          </w:p>
        </w:tc>
        <w:tc>
          <w:tcPr>
            <w:tcW w:w="2334"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210</w:t>
            </w:r>
          </w:p>
        </w:tc>
      </w:tr>
      <w:tr w:rsidR="007715E0" w:rsidRPr="00EA2357" w:rsidTr="004549D6">
        <w:trPr>
          <w:trHeight w:val="513"/>
        </w:trPr>
        <w:tc>
          <w:tcPr>
            <w:tcW w:w="3165" w:type="dxa"/>
            <w:tcBorders>
              <w:left w:val="single" w:sz="4" w:space="0" w:color="FFFFFF"/>
            </w:tcBorders>
            <w:shd w:val="clear" w:color="auto" w:fill="4472C4"/>
          </w:tcPr>
          <w:p w:rsidR="007715E0" w:rsidRPr="00E777A9" w:rsidRDefault="007715E0" w:rsidP="00767B74">
            <w:pPr>
              <w:rPr>
                <w:rFonts w:ascii="Calibri" w:eastAsia="Calibri" w:hAnsi="Calibri"/>
                <w:bCs/>
                <w:color w:val="FFFFFF"/>
              </w:rPr>
            </w:pPr>
            <w:r w:rsidRPr="00E777A9">
              <w:rPr>
                <w:rFonts w:ascii="Calibri" w:eastAsia="Calibri" w:hAnsi="Calibri"/>
                <w:bCs/>
                <w:color w:val="FFFFFF"/>
              </w:rPr>
              <w:t xml:space="preserve">Broj branilaca koji su branili jednom </w:t>
            </w:r>
          </w:p>
        </w:tc>
        <w:tc>
          <w:tcPr>
            <w:tcW w:w="2536"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 xml:space="preserve">87 </w:t>
            </w:r>
            <w:r w:rsidRPr="00E777A9">
              <w:rPr>
                <w:rFonts w:ascii="Calibri" w:eastAsia="Calibri" w:hAnsi="Calibri"/>
                <w:color w:val="4F81BD"/>
              </w:rPr>
              <w:br/>
              <w:t>(60%)</w:t>
            </w:r>
          </w:p>
        </w:tc>
        <w:tc>
          <w:tcPr>
            <w:tcW w:w="2333"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 xml:space="preserve">76 </w:t>
            </w:r>
            <w:r w:rsidRPr="00E777A9">
              <w:rPr>
                <w:rFonts w:ascii="Calibri" w:eastAsia="Calibri" w:hAnsi="Calibri"/>
                <w:color w:val="4F81BD"/>
              </w:rPr>
              <w:br/>
              <w:t>(64.9%)</w:t>
            </w:r>
          </w:p>
        </w:tc>
        <w:tc>
          <w:tcPr>
            <w:tcW w:w="2334"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135</w:t>
            </w:r>
            <w:r w:rsidRPr="00E777A9">
              <w:rPr>
                <w:rFonts w:ascii="Calibri" w:eastAsia="Calibri" w:hAnsi="Calibri"/>
                <w:color w:val="4F81BD"/>
              </w:rPr>
              <w:br/>
              <w:t xml:space="preserve">(64.3%) </w:t>
            </w:r>
          </w:p>
        </w:tc>
      </w:tr>
      <w:tr w:rsidR="007715E0" w:rsidRPr="00EA2357" w:rsidTr="004549D6">
        <w:trPr>
          <w:trHeight w:val="527"/>
        </w:trPr>
        <w:tc>
          <w:tcPr>
            <w:tcW w:w="3165" w:type="dxa"/>
            <w:tcBorders>
              <w:left w:val="single" w:sz="4" w:space="0" w:color="FFFFFF"/>
            </w:tcBorders>
            <w:shd w:val="clear" w:color="auto" w:fill="4472C4"/>
          </w:tcPr>
          <w:p w:rsidR="007715E0" w:rsidRPr="00E777A9" w:rsidRDefault="007715E0" w:rsidP="00767B74">
            <w:pPr>
              <w:rPr>
                <w:rFonts w:ascii="Calibri" w:eastAsia="Calibri" w:hAnsi="Calibri"/>
                <w:bCs/>
                <w:color w:val="FFFFFF"/>
              </w:rPr>
            </w:pPr>
            <w:r w:rsidRPr="00E777A9">
              <w:rPr>
                <w:rFonts w:ascii="Calibri" w:eastAsia="Calibri" w:hAnsi="Calibri"/>
                <w:bCs/>
                <w:color w:val="FFFFFF"/>
              </w:rPr>
              <w:t>Broj branilaca koji su branili dva ili više puta</w:t>
            </w:r>
          </w:p>
        </w:tc>
        <w:tc>
          <w:tcPr>
            <w:tcW w:w="2536" w:type="dxa"/>
            <w:shd w:val="clear" w:color="auto" w:fill="B4C6E7"/>
          </w:tcPr>
          <w:p w:rsidR="007715E0" w:rsidRPr="00E777A9" w:rsidRDefault="007715E0" w:rsidP="00767B74">
            <w:pPr>
              <w:jc w:val="center"/>
              <w:rPr>
                <w:rFonts w:ascii="Calibri" w:eastAsia="Calibri" w:hAnsi="Calibri"/>
                <w:color w:val="4F81BD"/>
              </w:rPr>
            </w:pPr>
            <w:proofErr w:type="gramStart"/>
            <w:r w:rsidRPr="00E777A9">
              <w:rPr>
                <w:rFonts w:ascii="Calibri" w:eastAsia="Calibri" w:hAnsi="Calibri"/>
                <w:color w:val="4F81BD"/>
              </w:rPr>
              <w:t xml:space="preserve">58  </w:t>
            </w:r>
            <w:proofErr w:type="gramEnd"/>
            <w:r w:rsidRPr="00E777A9">
              <w:rPr>
                <w:rFonts w:ascii="Calibri" w:eastAsia="Calibri" w:hAnsi="Calibri"/>
                <w:color w:val="4F81BD"/>
              </w:rPr>
              <w:br/>
              <w:t>(40%)</w:t>
            </w:r>
          </w:p>
        </w:tc>
        <w:tc>
          <w:tcPr>
            <w:tcW w:w="2333"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41</w:t>
            </w:r>
            <w:r w:rsidRPr="00E777A9">
              <w:rPr>
                <w:rFonts w:ascii="Calibri" w:eastAsia="Calibri" w:hAnsi="Calibri"/>
                <w:color w:val="4F81BD"/>
              </w:rPr>
              <w:br/>
              <w:t>(35.1%)</w:t>
            </w:r>
          </w:p>
        </w:tc>
        <w:tc>
          <w:tcPr>
            <w:tcW w:w="2334"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 xml:space="preserve">75 </w:t>
            </w:r>
            <w:r w:rsidRPr="00E777A9">
              <w:rPr>
                <w:rFonts w:ascii="Calibri" w:eastAsia="Calibri" w:hAnsi="Calibri"/>
                <w:color w:val="4F81BD"/>
              </w:rPr>
              <w:br/>
              <w:t>(35.7%)</w:t>
            </w:r>
          </w:p>
        </w:tc>
      </w:tr>
      <w:tr w:rsidR="007715E0" w:rsidRPr="00EA2357" w:rsidTr="004549D6">
        <w:trPr>
          <w:trHeight w:val="249"/>
        </w:trPr>
        <w:tc>
          <w:tcPr>
            <w:tcW w:w="3165" w:type="dxa"/>
            <w:tcBorders>
              <w:left w:val="single" w:sz="4" w:space="0" w:color="FFFFFF"/>
            </w:tcBorders>
            <w:shd w:val="clear" w:color="auto" w:fill="4472C4"/>
          </w:tcPr>
          <w:p w:rsidR="007715E0" w:rsidRPr="00E777A9" w:rsidRDefault="007715E0" w:rsidP="00767B74">
            <w:pPr>
              <w:rPr>
                <w:rFonts w:ascii="Calibri" w:eastAsia="Calibri" w:hAnsi="Calibri"/>
                <w:bCs/>
                <w:color w:val="FFFFFF"/>
              </w:rPr>
            </w:pPr>
            <w:r w:rsidRPr="00E777A9">
              <w:rPr>
                <w:rFonts w:ascii="Calibri" w:eastAsia="Calibri" w:hAnsi="Calibri"/>
                <w:bCs/>
                <w:color w:val="FFFFFF"/>
              </w:rPr>
              <w:t>Ukupan broj slučajeva</w:t>
            </w:r>
          </w:p>
        </w:tc>
        <w:tc>
          <w:tcPr>
            <w:tcW w:w="2536"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289</w:t>
            </w:r>
          </w:p>
        </w:tc>
        <w:tc>
          <w:tcPr>
            <w:tcW w:w="2333"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224</w:t>
            </w:r>
          </w:p>
        </w:tc>
        <w:tc>
          <w:tcPr>
            <w:tcW w:w="2334"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513</w:t>
            </w:r>
          </w:p>
        </w:tc>
      </w:tr>
      <w:tr w:rsidR="007715E0" w:rsidRPr="00EA2357" w:rsidTr="004549D6">
        <w:trPr>
          <w:trHeight w:val="264"/>
        </w:trPr>
        <w:tc>
          <w:tcPr>
            <w:tcW w:w="3165" w:type="dxa"/>
            <w:tcBorders>
              <w:left w:val="single" w:sz="4" w:space="0" w:color="FFFFFF"/>
            </w:tcBorders>
            <w:shd w:val="clear" w:color="auto" w:fill="4472C4"/>
          </w:tcPr>
          <w:p w:rsidR="007715E0" w:rsidRPr="00E777A9" w:rsidRDefault="007715E0" w:rsidP="00767B74">
            <w:pPr>
              <w:rPr>
                <w:rFonts w:ascii="Calibri" w:eastAsia="Calibri" w:hAnsi="Calibri"/>
                <w:bCs/>
                <w:color w:val="FFFFFF"/>
              </w:rPr>
            </w:pPr>
            <w:r w:rsidRPr="00E777A9">
              <w:rPr>
                <w:rFonts w:ascii="Calibri" w:eastAsia="Calibri" w:hAnsi="Calibri"/>
                <w:bCs/>
                <w:color w:val="FFFFFF"/>
              </w:rPr>
              <w:t>Broj advokata na listi</w:t>
            </w:r>
          </w:p>
        </w:tc>
        <w:tc>
          <w:tcPr>
            <w:tcW w:w="2536"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761</w:t>
            </w:r>
          </w:p>
        </w:tc>
        <w:tc>
          <w:tcPr>
            <w:tcW w:w="2333"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802</w:t>
            </w:r>
          </w:p>
        </w:tc>
        <w:tc>
          <w:tcPr>
            <w:tcW w:w="2334" w:type="dxa"/>
            <w:shd w:val="clear" w:color="auto" w:fill="B4C6E7"/>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781</w:t>
            </w:r>
          </w:p>
        </w:tc>
      </w:tr>
      <w:tr w:rsidR="007715E0" w:rsidRPr="00EA2357" w:rsidTr="004549D6">
        <w:trPr>
          <w:trHeight w:val="527"/>
        </w:trPr>
        <w:tc>
          <w:tcPr>
            <w:tcW w:w="3165" w:type="dxa"/>
            <w:tcBorders>
              <w:left w:val="single" w:sz="4" w:space="0" w:color="FFFFFF"/>
              <w:bottom w:val="single" w:sz="4" w:space="0" w:color="FFFFFF"/>
            </w:tcBorders>
            <w:shd w:val="clear" w:color="auto" w:fill="4472C4"/>
          </w:tcPr>
          <w:p w:rsidR="007715E0" w:rsidRPr="00E777A9" w:rsidRDefault="007715E0" w:rsidP="00767B74">
            <w:pPr>
              <w:rPr>
                <w:rFonts w:ascii="Calibri" w:eastAsia="Calibri" w:hAnsi="Calibri"/>
                <w:bCs/>
                <w:color w:val="FFFFFF"/>
              </w:rPr>
            </w:pPr>
            <w:r w:rsidRPr="00E777A9">
              <w:rPr>
                <w:rFonts w:ascii="Calibri" w:eastAsia="Calibri" w:hAnsi="Calibri"/>
                <w:bCs/>
                <w:color w:val="FFFFFF"/>
              </w:rPr>
              <w:t xml:space="preserve">Broj branilaca koji nije </w:t>
            </w:r>
            <w:r>
              <w:rPr>
                <w:rFonts w:ascii="Calibri" w:eastAsia="Calibri" w:hAnsi="Calibri"/>
                <w:bCs/>
                <w:color w:val="FFFFFF"/>
              </w:rPr>
              <w:t>nijednom postavljan</w:t>
            </w:r>
          </w:p>
        </w:tc>
        <w:tc>
          <w:tcPr>
            <w:tcW w:w="2536"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616</w:t>
            </w:r>
          </w:p>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(80.9%)</w:t>
            </w:r>
          </w:p>
        </w:tc>
        <w:tc>
          <w:tcPr>
            <w:tcW w:w="2333"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685</w:t>
            </w:r>
          </w:p>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(85.4%)</w:t>
            </w:r>
          </w:p>
        </w:tc>
        <w:tc>
          <w:tcPr>
            <w:tcW w:w="2334" w:type="dxa"/>
            <w:shd w:val="clear" w:color="auto" w:fill="D9E2F3"/>
          </w:tcPr>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571</w:t>
            </w:r>
          </w:p>
          <w:p w:rsidR="007715E0" w:rsidRPr="00E777A9" w:rsidRDefault="007715E0" w:rsidP="00767B74">
            <w:pPr>
              <w:jc w:val="center"/>
              <w:rPr>
                <w:rFonts w:ascii="Calibri" w:eastAsia="Calibri" w:hAnsi="Calibri"/>
                <w:color w:val="4F81BD"/>
              </w:rPr>
            </w:pPr>
            <w:r w:rsidRPr="00E777A9">
              <w:rPr>
                <w:rFonts w:ascii="Calibri" w:eastAsia="Calibri" w:hAnsi="Calibri"/>
                <w:color w:val="4F81BD"/>
              </w:rPr>
              <w:t>(73.1%)</w:t>
            </w:r>
          </w:p>
        </w:tc>
      </w:tr>
    </w:tbl>
    <w:p w:rsidR="007715E0" w:rsidRPr="00EA2357" w:rsidRDefault="007715E0" w:rsidP="007715E0">
      <w:pPr>
        <w:rPr>
          <w:b/>
          <w:color w:val="4F81BD"/>
          <w:sz w:val="28"/>
          <w:szCs w:val="28"/>
          <w:lang w:val="sr-Latn-RS"/>
        </w:rPr>
      </w:pPr>
    </w:p>
    <w:p w:rsidR="007715E0" w:rsidRPr="00EA2357" w:rsidRDefault="007715E0" w:rsidP="007715E0">
      <w:pPr>
        <w:jc w:val="center"/>
        <w:rPr>
          <w:b/>
          <w:color w:val="4F81BD"/>
          <w:sz w:val="28"/>
          <w:szCs w:val="28"/>
          <w:lang w:val="sr-Latn-RS"/>
        </w:rPr>
      </w:pPr>
    </w:p>
    <w:p w:rsidR="004549D6" w:rsidRDefault="004549D6">
      <w:pPr>
        <w:rPr>
          <w:b/>
          <w:color w:val="4F81BD"/>
          <w:sz w:val="28"/>
          <w:szCs w:val="28"/>
          <w:lang w:val="sr-Latn-RS"/>
        </w:rPr>
      </w:pPr>
      <w:r>
        <w:rPr>
          <w:b/>
          <w:color w:val="4F81BD"/>
          <w:sz w:val="28"/>
          <w:szCs w:val="28"/>
          <w:lang w:val="sr-Latn-RS"/>
        </w:rPr>
        <w:br w:type="page"/>
      </w:r>
    </w:p>
    <w:p w:rsidR="007715E0" w:rsidRPr="00EA2357" w:rsidRDefault="007715E0" w:rsidP="007715E0">
      <w:pPr>
        <w:jc w:val="center"/>
        <w:rPr>
          <w:color w:val="4F81BD"/>
        </w:rPr>
      </w:pPr>
      <w:r w:rsidRPr="00EA2357">
        <w:rPr>
          <w:b/>
          <w:color w:val="4F81BD"/>
          <w:sz w:val="28"/>
          <w:szCs w:val="28"/>
          <w:lang w:val="sr-Latn-RS"/>
        </w:rPr>
        <w:lastRenderedPageBreak/>
        <w:t xml:space="preserve">Prikaz zastupljenosti službenih odbrana  </w:t>
      </w:r>
      <w:r>
        <w:rPr>
          <w:b/>
          <w:color w:val="4F81BD"/>
          <w:sz w:val="28"/>
          <w:szCs w:val="28"/>
          <w:lang w:val="sr-Latn-RS"/>
        </w:rPr>
        <w:t>za 2015. i 2016. godin</w:t>
      </w:r>
      <w:r w:rsidRPr="00EA2357">
        <w:rPr>
          <w:b/>
          <w:color w:val="4F81BD"/>
          <w:sz w:val="28"/>
          <w:szCs w:val="28"/>
          <w:lang w:val="sr-Latn-RS"/>
        </w:rPr>
        <w:t xml:space="preserve">u </w:t>
      </w:r>
    </w:p>
    <w:p w:rsidR="007715E0" w:rsidRPr="00EA2357" w:rsidRDefault="007715E0" w:rsidP="007715E0">
      <w:pPr>
        <w:jc w:val="center"/>
        <w:rPr>
          <w:b/>
          <w:color w:val="1F497D"/>
          <w:sz w:val="28"/>
          <w:szCs w:val="28"/>
          <w:lang w:val="sr-Latn-RS"/>
        </w:rPr>
      </w:pPr>
      <w:r>
        <w:rPr>
          <w:noProof/>
          <w:lang w:val="sr-Latn-ME" w:eastAsia="sr-Latn-ME"/>
        </w:rPr>
        <w:drawing>
          <wp:inline distT="0" distB="0" distL="0" distR="0" wp14:anchorId="3746FAC2" wp14:editId="390EA777">
            <wp:extent cx="6591300" cy="3362325"/>
            <wp:effectExtent l="0" t="0" r="0" b="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15E0" w:rsidRDefault="007715E0" w:rsidP="007715E0">
      <w:pPr>
        <w:rPr>
          <w:b/>
          <w:i/>
        </w:rPr>
      </w:pPr>
    </w:p>
    <w:p w:rsidR="007715E0" w:rsidRDefault="007715E0" w:rsidP="007715E0">
      <w:pPr>
        <w:rPr>
          <w:b/>
          <w:i/>
        </w:rPr>
      </w:pPr>
      <w:proofErr w:type="gramStart"/>
      <w:r>
        <w:rPr>
          <w:b/>
          <w:i/>
        </w:rPr>
        <w:t>.1.5.</w:t>
      </w:r>
      <w:proofErr w:type="gramEnd"/>
      <w:r>
        <w:rPr>
          <w:b/>
          <w:i/>
        </w:rPr>
        <w:t xml:space="preserve"> Tabelarni prikaz službenih odbrana pred Osnovnim tužilaštvima i zastupljenost odbrana po braniocima </w:t>
      </w:r>
      <w:r>
        <w:rPr>
          <w:rStyle w:val="FootnoteReference"/>
          <w:b/>
          <w:i/>
        </w:rPr>
        <w:footnoteReference w:id="22"/>
      </w:r>
    </w:p>
    <w:p w:rsidR="007715E0" w:rsidRDefault="007715E0" w:rsidP="007715E0">
      <w:pPr>
        <w:rPr>
          <w:b/>
          <w:i/>
        </w:rPr>
      </w:pPr>
    </w:p>
    <w:tbl>
      <w:tblPr>
        <w:tblW w:w="101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32"/>
        <w:gridCol w:w="2532"/>
        <w:gridCol w:w="2533"/>
        <w:gridCol w:w="2533"/>
      </w:tblGrid>
      <w:tr w:rsidR="007715E0" w:rsidRPr="00E777A9" w:rsidTr="00767B74">
        <w:trPr>
          <w:trHeight w:val="498"/>
        </w:trPr>
        <w:tc>
          <w:tcPr>
            <w:tcW w:w="2532" w:type="dxa"/>
            <w:tcBorders>
              <w:top w:val="single" w:sz="4" w:space="0" w:color="FFFFFF"/>
              <w:left w:val="single" w:sz="4" w:space="0" w:color="FFFFFF"/>
              <w:right w:val="nil"/>
            </w:tcBorders>
            <w:shd w:val="clear" w:color="auto" w:fill="4472C4"/>
          </w:tcPr>
          <w:p w:rsidR="007715E0" w:rsidRPr="00E777A9" w:rsidRDefault="007715E0" w:rsidP="00767B74">
            <w:pPr>
              <w:rPr>
                <w:rFonts w:ascii="Calibri" w:eastAsia="Calibri" w:hAnsi="Calibri"/>
                <w:b/>
                <w:bCs/>
                <w:color w:val="FFFFFF"/>
              </w:rPr>
            </w:pPr>
          </w:p>
        </w:tc>
        <w:tc>
          <w:tcPr>
            <w:tcW w:w="2532" w:type="dxa"/>
            <w:tcBorders>
              <w:top w:val="single" w:sz="4" w:space="0" w:color="FFFFFF"/>
              <w:left w:val="nil"/>
              <w:right w:val="nil"/>
            </w:tcBorders>
            <w:shd w:val="clear" w:color="auto" w:fill="4472C4"/>
          </w:tcPr>
          <w:p w:rsidR="007715E0" w:rsidRPr="00E777A9" w:rsidRDefault="007715E0" w:rsidP="00767B74">
            <w:pPr>
              <w:jc w:val="center"/>
              <w:rPr>
                <w:rFonts w:ascii="Calibri" w:eastAsia="Calibri" w:hAnsi="Calibri"/>
                <w:b/>
                <w:bCs/>
                <w:color w:val="FFFFFF"/>
              </w:rPr>
            </w:pPr>
            <w:r w:rsidRPr="00E777A9">
              <w:rPr>
                <w:rFonts w:ascii="Calibri" w:eastAsia="Calibri" w:hAnsi="Calibri"/>
                <w:b/>
                <w:bCs/>
                <w:color w:val="FFFFFF"/>
              </w:rPr>
              <w:t>2015</w:t>
            </w:r>
          </w:p>
        </w:tc>
        <w:tc>
          <w:tcPr>
            <w:tcW w:w="2533" w:type="dxa"/>
            <w:tcBorders>
              <w:top w:val="single" w:sz="4" w:space="0" w:color="FFFFFF"/>
              <w:left w:val="nil"/>
              <w:right w:val="nil"/>
            </w:tcBorders>
            <w:shd w:val="clear" w:color="auto" w:fill="4472C4"/>
          </w:tcPr>
          <w:p w:rsidR="007715E0" w:rsidRPr="00E777A9" w:rsidRDefault="007715E0" w:rsidP="00767B74">
            <w:pPr>
              <w:jc w:val="center"/>
              <w:rPr>
                <w:rFonts w:ascii="Calibri" w:eastAsia="Calibri" w:hAnsi="Calibri"/>
                <w:b/>
                <w:bCs/>
                <w:color w:val="FFFFFF"/>
              </w:rPr>
            </w:pPr>
            <w:r w:rsidRPr="00E777A9">
              <w:rPr>
                <w:rFonts w:ascii="Calibri" w:eastAsia="Calibri" w:hAnsi="Calibri"/>
                <w:b/>
                <w:bCs/>
                <w:color w:val="FFFFFF"/>
              </w:rPr>
              <w:t>2016</w:t>
            </w:r>
          </w:p>
        </w:tc>
        <w:tc>
          <w:tcPr>
            <w:tcW w:w="2533" w:type="dxa"/>
            <w:tcBorders>
              <w:top w:val="single" w:sz="4" w:space="0" w:color="FFFFFF"/>
              <w:left w:val="nil"/>
              <w:right w:val="single" w:sz="4" w:space="0" w:color="FFFFFF"/>
            </w:tcBorders>
            <w:shd w:val="clear" w:color="auto" w:fill="4472C4"/>
          </w:tcPr>
          <w:p w:rsidR="007715E0" w:rsidRPr="00E777A9" w:rsidRDefault="007715E0" w:rsidP="00767B74">
            <w:pPr>
              <w:jc w:val="center"/>
              <w:rPr>
                <w:rFonts w:ascii="Calibri" w:eastAsia="Calibri" w:hAnsi="Calibri"/>
                <w:b/>
                <w:bCs/>
                <w:color w:val="FFFFFF"/>
              </w:rPr>
            </w:pPr>
            <w:r w:rsidRPr="00E777A9">
              <w:rPr>
                <w:rFonts w:ascii="Calibri" w:eastAsia="Calibri" w:hAnsi="Calibri"/>
                <w:b/>
                <w:bCs/>
                <w:color w:val="FFFFFF"/>
              </w:rPr>
              <w:t>2015-2016</w:t>
            </w:r>
          </w:p>
        </w:tc>
      </w:tr>
      <w:tr w:rsidR="007715E0" w:rsidRPr="00E777A9" w:rsidTr="00767B74">
        <w:trPr>
          <w:trHeight w:val="737"/>
        </w:trPr>
        <w:tc>
          <w:tcPr>
            <w:tcW w:w="2532" w:type="dxa"/>
            <w:tcBorders>
              <w:top w:val="single" w:sz="4" w:space="0" w:color="FFFFFF"/>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Ukupan broj branilaca koji su stupili na dužnost</w:t>
            </w:r>
          </w:p>
        </w:tc>
        <w:tc>
          <w:tcPr>
            <w:tcW w:w="2532"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77</w:t>
            </w:r>
          </w:p>
        </w:tc>
        <w:tc>
          <w:tcPr>
            <w:tcW w:w="2533"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93</w:t>
            </w:r>
          </w:p>
        </w:tc>
        <w:tc>
          <w:tcPr>
            <w:tcW w:w="2533"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120</w:t>
            </w:r>
          </w:p>
        </w:tc>
      </w:tr>
      <w:tr w:rsidR="007715E0" w:rsidRPr="00E777A9" w:rsidTr="00767B74">
        <w:trPr>
          <w:trHeight w:val="619"/>
        </w:trPr>
        <w:tc>
          <w:tcPr>
            <w:tcW w:w="2532"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 xml:space="preserve">Broj branilaca koji su branili jednom </w:t>
            </w:r>
          </w:p>
        </w:tc>
        <w:tc>
          <w:tcPr>
            <w:tcW w:w="2532"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54</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(70.2%)</w:t>
            </w:r>
          </w:p>
        </w:tc>
        <w:tc>
          <w:tcPr>
            <w:tcW w:w="2533"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76</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(81.7%)</w:t>
            </w:r>
          </w:p>
        </w:tc>
        <w:tc>
          <w:tcPr>
            <w:tcW w:w="2533"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89</w:t>
            </w:r>
            <w:r w:rsidRPr="00E777A9">
              <w:rPr>
                <w:rFonts w:ascii="Calibri" w:eastAsia="Calibri" w:hAnsi="Calibri"/>
                <w:b/>
                <w:color w:val="4F81BD"/>
              </w:rPr>
              <w:br/>
              <w:t>74.2%</w:t>
            </w:r>
          </w:p>
        </w:tc>
      </w:tr>
      <w:tr w:rsidR="007715E0" w:rsidRPr="00E777A9" w:rsidTr="00767B74">
        <w:trPr>
          <w:trHeight w:val="709"/>
        </w:trPr>
        <w:tc>
          <w:tcPr>
            <w:tcW w:w="2532"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Broj branilaca koji su branili 2 ili više puta</w:t>
            </w:r>
          </w:p>
        </w:tc>
        <w:tc>
          <w:tcPr>
            <w:tcW w:w="2532"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23</w:t>
            </w:r>
          </w:p>
          <w:p w:rsidR="007715E0" w:rsidRPr="00E777A9" w:rsidRDefault="007715E0" w:rsidP="00767B74">
            <w:pPr>
              <w:spacing w:line="360" w:lineRule="auto"/>
              <w:jc w:val="center"/>
              <w:rPr>
                <w:rFonts w:ascii="Calibri" w:eastAsia="Calibri" w:hAnsi="Calibri"/>
                <w:b/>
                <w:color w:val="4F81BD"/>
              </w:rPr>
            </w:pPr>
            <w:r w:rsidRPr="00E777A9">
              <w:rPr>
                <w:rFonts w:ascii="Calibri" w:eastAsia="Calibri" w:hAnsi="Calibri"/>
                <w:b/>
                <w:color w:val="4F81BD"/>
              </w:rPr>
              <w:t>(29.8%)</w:t>
            </w:r>
          </w:p>
        </w:tc>
        <w:tc>
          <w:tcPr>
            <w:tcW w:w="2533"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17</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(18.3%)</w:t>
            </w:r>
          </w:p>
        </w:tc>
        <w:tc>
          <w:tcPr>
            <w:tcW w:w="2533"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31</w:t>
            </w:r>
            <w:r w:rsidRPr="00E777A9">
              <w:rPr>
                <w:rFonts w:ascii="Calibri" w:eastAsia="Calibri" w:hAnsi="Calibri"/>
                <w:b/>
                <w:color w:val="4F81BD"/>
              </w:rPr>
              <w:br/>
              <w:t>25.8%</w:t>
            </w:r>
          </w:p>
        </w:tc>
      </w:tr>
      <w:tr w:rsidR="007715E0" w:rsidRPr="00E777A9" w:rsidTr="00767B74">
        <w:trPr>
          <w:trHeight w:val="498"/>
        </w:trPr>
        <w:tc>
          <w:tcPr>
            <w:tcW w:w="2532"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Ukupan broj slučajeva</w:t>
            </w:r>
          </w:p>
        </w:tc>
        <w:tc>
          <w:tcPr>
            <w:tcW w:w="2532"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169</w:t>
            </w:r>
          </w:p>
        </w:tc>
        <w:tc>
          <w:tcPr>
            <w:tcW w:w="2533"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153</w:t>
            </w:r>
          </w:p>
        </w:tc>
        <w:tc>
          <w:tcPr>
            <w:tcW w:w="2533"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229</w:t>
            </w:r>
          </w:p>
        </w:tc>
      </w:tr>
      <w:tr w:rsidR="007715E0" w:rsidRPr="00E777A9" w:rsidTr="00767B74">
        <w:trPr>
          <w:trHeight w:val="513"/>
        </w:trPr>
        <w:tc>
          <w:tcPr>
            <w:tcW w:w="2532" w:type="dxa"/>
            <w:tcBorders>
              <w:left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Broj advokata na listi</w:t>
            </w:r>
          </w:p>
        </w:tc>
        <w:tc>
          <w:tcPr>
            <w:tcW w:w="2532"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761</w:t>
            </w:r>
          </w:p>
        </w:tc>
        <w:tc>
          <w:tcPr>
            <w:tcW w:w="2533"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802</w:t>
            </w:r>
          </w:p>
        </w:tc>
        <w:tc>
          <w:tcPr>
            <w:tcW w:w="2533" w:type="dxa"/>
            <w:shd w:val="clear" w:color="auto" w:fill="B4C6E7"/>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781</w:t>
            </w:r>
          </w:p>
        </w:tc>
      </w:tr>
      <w:tr w:rsidR="007715E0" w:rsidRPr="00E777A9" w:rsidTr="00767B74">
        <w:trPr>
          <w:trHeight w:val="845"/>
        </w:trPr>
        <w:tc>
          <w:tcPr>
            <w:tcW w:w="2532" w:type="dxa"/>
            <w:tcBorders>
              <w:left w:val="single" w:sz="4" w:space="0" w:color="FFFFFF"/>
              <w:bottom w:val="single" w:sz="4" w:space="0" w:color="FFFFFF"/>
            </w:tcBorders>
            <w:shd w:val="clear" w:color="auto" w:fill="4472C4"/>
          </w:tcPr>
          <w:p w:rsidR="007715E0" w:rsidRPr="00E777A9" w:rsidRDefault="007715E0" w:rsidP="00767B74">
            <w:pPr>
              <w:rPr>
                <w:rFonts w:ascii="Calibri" w:eastAsia="Calibri" w:hAnsi="Calibri"/>
                <w:b/>
                <w:bCs/>
                <w:color w:val="FFFFFF"/>
              </w:rPr>
            </w:pPr>
            <w:r w:rsidRPr="00E777A9">
              <w:rPr>
                <w:rFonts w:ascii="Calibri" w:eastAsia="Calibri" w:hAnsi="Calibri"/>
                <w:b/>
                <w:bCs/>
                <w:color w:val="FFFFFF"/>
              </w:rPr>
              <w:t xml:space="preserve">Broj branilaca koji nije </w:t>
            </w:r>
            <w:r>
              <w:rPr>
                <w:rFonts w:ascii="Calibri" w:eastAsia="Calibri" w:hAnsi="Calibri"/>
                <w:b/>
                <w:bCs/>
                <w:color w:val="FFFFFF"/>
              </w:rPr>
              <w:t>nijednom postavljan</w:t>
            </w:r>
          </w:p>
        </w:tc>
        <w:tc>
          <w:tcPr>
            <w:tcW w:w="2532"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t>684</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lastRenderedPageBreak/>
              <w:t>(89.9%)</w:t>
            </w:r>
          </w:p>
        </w:tc>
        <w:tc>
          <w:tcPr>
            <w:tcW w:w="2533"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lastRenderedPageBreak/>
              <w:t>709</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lastRenderedPageBreak/>
              <w:t>(88.4%)</w:t>
            </w:r>
          </w:p>
        </w:tc>
        <w:tc>
          <w:tcPr>
            <w:tcW w:w="2533" w:type="dxa"/>
            <w:shd w:val="clear" w:color="auto" w:fill="D9E2F3"/>
          </w:tcPr>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lastRenderedPageBreak/>
              <w:t>661</w:t>
            </w:r>
          </w:p>
          <w:p w:rsidR="007715E0" w:rsidRPr="00E777A9" w:rsidRDefault="007715E0" w:rsidP="00767B74">
            <w:pPr>
              <w:jc w:val="center"/>
              <w:rPr>
                <w:rFonts w:ascii="Calibri" w:eastAsia="Calibri" w:hAnsi="Calibri"/>
                <w:b/>
                <w:color w:val="4F81BD"/>
              </w:rPr>
            </w:pPr>
            <w:r w:rsidRPr="00E777A9">
              <w:rPr>
                <w:rFonts w:ascii="Calibri" w:eastAsia="Calibri" w:hAnsi="Calibri"/>
                <w:b/>
                <w:color w:val="4F81BD"/>
              </w:rPr>
              <w:lastRenderedPageBreak/>
              <w:t>(84.6%)</w:t>
            </w:r>
          </w:p>
        </w:tc>
      </w:tr>
    </w:tbl>
    <w:p w:rsidR="007715E0" w:rsidRPr="00662A3F" w:rsidRDefault="007715E0" w:rsidP="007715E0">
      <w:pPr>
        <w:jc w:val="center"/>
        <w:rPr>
          <w:b/>
          <w:color w:val="1F497D"/>
          <w:sz w:val="28"/>
          <w:szCs w:val="28"/>
          <w:lang w:val="sr-Latn-RS"/>
        </w:rPr>
      </w:pPr>
    </w:p>
    <w:p w:rsidR="007715E0" w:rsidRPr="00662A3F" w:rsidRDefault="007715E0" w:rsidP="007715E0">
      <w:pPr>
        <w:jc w:val="center"/>
        <w:rPr>
          <w:b/>
          <w:color w:val="1F497D"/>
          <w:sz w:val="28"/>
          <w:szCs w:val="28"/>
          <w:lang w:val="sr-Latn-RS"/>
        </w:rPr>
      </w:pPr>
    </w:p>
    <w:p w:rsidR="007715E0" w:rsidRPr="00662A3F" w:rsidRDefault="007715E0" w:rsidP="007715E0">
      <w:pPr>
        <w:jc w:val="center"/>
        <w:rPr>
          <w:b/>
          <w:color w:val="1F497D"/>
          <w:sz w:val="28"/>
          <w:szCs w:val="28"/>
          <w:lang w:val="sr-Latn-RS"/>
        </w:rPr>
      </w:pPr>
    </w:p>
    <w:p w:rsidR="007715E0" w:rsidRPr="00662A3F" w:rsidRDefault="007715E0" w:rsidP="007715E0">
      <w:pPr>
        <w:jc w:val="center"/>
        <w:rPr>
          <w:b/>
          <w:color w:val="4F81BD"/>
          <w:sz w:val="28"/>
          <w:szCs w:val="28"/>
          <w:lang w:val="sr-Latn-RS"/>
        </w:rPr>
      </w:pPr>
      <w:r w:rsidRPr="00662A3F">
        <w:rPr>
          <w:b/>
          <w:color w:val="4F81BD"/>
          <w:sz w:val="28"/>
          <w:szCs w:val="28"/>
          <w:lang w:val="sr-Latn-RS"/>
        </w:rPr>
        <w:t xml:space="preserve">Prikaz zastupljenosti branilaca po službenoj dužnosti za 2015. i 2016. godinu </w:t>
      </w:r>
    </w:p>
    <w:p w:rsidR="007715E0" w:rsidRPr="00662A3F" w:rsidRDefault="007715E0" w:rsidP="007715E0">
      <w:pPr>
        <w:spacing w:after="160" w:line="259" w:lineRule="auto"/>
        <w:rPr>
          <w:b/>
          <w:color w:val="1F497D"/>
          <w:sz w:val="28"/>
          <w:szCs w:val="28"/>
          <w:lang w:val="sr-Latn-RS"/>
        </w:rPr>
      </w:pPr>
      <w:r>
        <w:rPr>
          <w:noProof/>
          <w:lang w:val="sr-Latn-ME" w:eastAsia="sr-Latn-ME"/>
        </w:rPr>
        <w:drawing>
          <wp:inline distT="0" distB="0" distL="0" distR="0">
            <wp:extent cx="6057900" cy="3095625"/>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15E0" w:rsidRDefault="007715E0" w:rsidP="007715E0"/>
    <w:p w:rsidR="007715E0" w:rsidRDefault="007715E0" w:rsidP="007715E0"/>
    <w:p w:rsidR="007715E0" w:rsidRDefault="007715E0" w:rsidP="007715E0">
      <w:pPr>
        <w:rPr>
          <w:b/>
          <w:i/>
        </w:rPr>
      </w:pPr>
      <w:r>
        <w:rPr>
          <w:b/>
          <w:i/>
        </w:rPr>
        <w:t>4.1.6</w:t>
      </w:r>
      <w:proofErr w:type="gramStart"/>
      <w:r>
        <w:rPr>
          <w:b/>
          <w:i/>
        </w:rPr>
        <w:t>.</w:t>
      </w:r>
      <w:r w:rsidRPr="00A65DB4">
        <w:rPr>
          <w:b/>
          <w:i/>
        </w:rPr>
        <w:t>Tabelarni</w:t>
      </w:r>
      <w:proofErr w:type="gramEnd"/>
      <w:r w:rsidRPr="00A65DB4">
        <w:rPr>
          <w:b/>
          <w:i/>
        </w:rPr>
        <w:t xml:space="preserve"> prikaz službenih</w:t>
      </w:r>
      <w:r>
        <w:rPr>
          <w:b/>
          <w:i/>
        </w:rPr>
        <w:t xml:space="preserve"> odbrana pred Višim tužilaštvom u Bijelom Polju i Specijalnim tužilaštvom</w:t>
      </w:r>
      <w:r>
        <w:rPr>
          <w:rStyle w:val="FootnoteReference"/>
          <w:b/>
          <w:i/>
        </w:rPr>
        <w:footnoteReference w:id="23"/>
      </w:r>
    </w:p>
    <w:p w:rsidR="007715E0" w:rsidRDefault="007715E0" w:rsidP="007715E0">
      <w:pPr>
        <w:rPr>
          <w:b/>
          <w:i/>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24"/>
        <w:gridCol w:w="2320"/>
        <w:gridCol w:w="2321"/>
        <w:gridCol w:w="2321"/>
      </w:tblGrid>
      <w:tr w:rsidR="007715E0" w:rsidTr="00767B74">
        <w:tc>
          <w:tcPr>
            <w:tcW w:w="2337" w:type="dxa"/>
            <w:tcBorders>
              <w:top w:val="single" w:sz="4" w:space="0" w:color="FFFFFF"/>
              <w:left w:val="single" w:sz="4" w:space="0" w:color="FFFFFF"/>
              <w:right w:val="nil"/>
            </w:tcBorders>
            <w:shd w:val="clear" w:color="auto" w:fill="4472C4"/>
          </w:tcPr>
          <w:p w:rsidR="007715E0" w:rsidRPr="00843AE7" w:rsidRDefault="007715E0" w:rsidP="00767B74">
            <w:pPr>
              <w:rPr>
                <w:rFonts w:ascii="Calibri" w:eastAsia="Calibri" w:hAnsi="Calibri"/>
                <w:b/>
                <w:bCs/>
                <w:color w:val="FFFFFF"/>
              </w:rPr>
            </w:pPr>
          </w:p>
        </w:tc>
        <w:tc>
          <w:tcPr>
            <w:tcW w:w="2337" w:type="dxa"/>
            <w:tcBorders>
              <w:top w:val="single" w:sz="4" w:space="0" w:color="FFFFFF"/>
              <w:left w:val="nil"/>
              <w:right w:val="nil"/>
            </w:tcBorders>
            <w:shd w:val="clear" w:color="auto" w:fill="4472C4"/>
          </w:tcPr>
          <w:p w:rsidR="007715E0" w:rsidRPr="00843AE7" w:rsidRDefault="007715E0" w:rsidP="00767B74">
            <w:pPr>
              <w:jc w:val="center"/>
              <w:rPr>
                <w:rFonts w:ascii="Calibri" w:eastAsia="Calibri" w:hAnsi="Calibri"/>
                <w:b/>
                <w:bCs/>
                <w:color w:val="FFFFFF"/>
              </w:rPr>
            </w:pPr>
            <w:r w:rsidRPr="00843AE7">
              <w:rPr>
                <w:rFonts w:ascii="Calibri" w:eastAsia="Calibri" w:hAnsi="Calibri"/>
                <w:b/>
                <w:bCs/>
                <w:color w:val="FFFFFF"/>
              </w:rPr>
              <w:t>2015</w:t>
            </w:r>
          </w:p>
        </w:tc>
        <w:tc>
          <w:tcPr>
            <w:tcW w:w="2338" w:type="dxa"/>
            <w:tcBorders>
              <w:top w:val="single" w:sz="4" w:space="0" w:color="FFFFFF"/>
              <w:left w:val="nil"/>
              <w:right w:val="nil"/>
            </w:tcBorders>
            <w:shd w:val="clear" w:color="auto" w:fill="4472C4"/>
          </w:tcPr>
          <w:p w:rsidR="007715E0" w:rsidRPr="00843AE7" w:rsidRDefault="007715E0" w:rsidP="00767B74">
            <w:pPr>
              <w:jc w:val="center"/>
              <w:rPr>
                <w:rFonts w:ascii="Calibri" w:eastAsia="Calibri" w:hAnsi="Calibri"/>
                <w:b/>
                <w:bCs/>
                <w:color w:val="FFFFFF"/>
              </w:rPr>
            </w:pPr>
            <w:r w:rsidRPr="00843AE7">
              <w:rPr>
                <w:rFonts w:ascii="Calibri" w:eastAsia="Calibri" w:hAnsi="Calibri"/>
                <w:b/>
                <w:bCs/>
                <w:color w:val="FFFFFF"/>
              </w:rPr>
              <w:t>2016</w:t>
            </w:r>
          </w:p>
        </w:tc>
        <w:tc>
          <w:tcPr>
            <w:tcW w:w="2338" w:type="dxa"/>
            <w:tcBorders>
              <w:top w:val="single" w:sz="4" w:space="0" w:color="FFFFFF"/>
              <w:left w:val="nil"/>
              <w:right w:val="single" w:sz="4" w:space="0" w:color="FFFFFF"/>
            </w:tcBorders>
            <w:shd w:val="clear" w:color="auto" w:fill="4472C4"/>
          </w:tcPr>
          <w:p w:rsidR="007715E0" w:rsidRPr="00843AE7" w:rsidRDefault="007715E0" w:rsidP="00767B74">
            <w:pPr>
              <w:jc w:val="center"/>
              <w:rPr>
                <w:rFonts w:ascii="Calibri" w:eastAsia="Calibri" w:hAnsi="Calibri"/>
                <w:b/>
                <w:bCs/>
                <w:color w:val="FFFFFF"/>
              </w:rPr>
            </w:pPr>
            <w:r w:rsidRPr="00843AE7">
              <w:rPr>
                <w:rFonts w:ascii="Calibri" w:eastAsia="Calibri" w:hAnsi="Calibri"/>
                <w:b/>
                <w:bCs/>
                <w:color w:val="FFFFFF"/>
              </w:rPr>
              <w:t>2015-2016</w:t>
            </w:r>
          </w:p>
        </w:tc>
      </w:tr>
      <w:tr w:rsidR="007715E0" w:rsidTr="00767B74">
        <w:tc>
          <w:tcPr>
            <w:tcW w:w="2337" w:type="dxa"/>
            <w:tcBorders>
              <w:top w:val="single" w:sz="4" w:space="0" w:color="FFFFFF"/>
              <w:left w:val="single" w:sz="4" w:space="0" w:color="FFFFFF"/>
            </w:tcBorders>
            <w:shd w:val="clear" w:color="auto" w:fill="4472C4"/>
          </w:tcPr>
          <w:p w:rsidR="007715E0" w:rsidRPr="00843AE7" w:rsidRDefault="007715E0" w:rsidP="00767B74">
            <w:pPr>
              <w:rPr>
                <w:rFonts w:ascii="Calibri" w:eastAsia="Calibri" w:hAnsi="Calibri"/>
                <w:b/>
                <w:bCs/>
                <w:color w:val="FFFFFF"/>
              </w:rPr>
            </w:pPr>
            <w:r w:rsidRPr="00843AE7">
              <w:rPr>
                <w:rFonts w:ascii="Calibri" w:eastAsia="Calibri" w:hAnsi="Calibri"/>
                <w:b/>
                <w:bCs/>
                <w:color w:val="FFFFFF"/>
              </w:rPr>
              <w:t>Ukupan broj branilaca koji su stupili na dužnost</w:t>
            </w:r>
            <w:r w:rsidRPr="00843AE7">
              <w:rPr>
                <w:rFonts w:ascii="Calibri" w:eastAsia="Calibri" w:hAnsi="Calibri"/>
                <w:b/>
                <w:bCs/>
                <w:color w:val="FFFFFF"/>
                <w:sz w:val="18"/>
                <w:szCs w:val="18"/>
              </w:rPr>
              <w:t xml:space="preserve"> </w:t>
            </w:r>
          </w:p>
        </w:tc>
        <w:tc>
          <w:tcPr>
            <w:tcW w:w="2337"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23</w:t>
            </w:r>
          </w:p>
        </w:tc>
        <w:tc>
          <w:tcPr>
            <w:tcW w:w="2338"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23</w:t>
            </w:r>
          </w:p>
        </w:tc>
        <w:tc>
          <w:tcPr>
            <w:tcW w:w="2338"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38</w:t>
            </w:r>
          </w:p>
        </w:tc>
      </w:tr>
      <w:tr w:rsidR="007715E0" w:rsidTr="00767B74">
        <w:tc>
          <w:tcPr>
            <w:tcW w:w="2337" w:type="dxa"/>
            <w:tcBorders>
              <w:left w:val="single" w:sz="4" w:space="0" w:color="FFFFFF"/>
            </w:tcBorders>
            <w:shd w:val="clear" w:color="auto" w:fill="4472C4"/>
          </w:tcPr>
          <w:p w:rsidR="007715E0" w:rsidRPr="00843AE7" w:rsidRDefault="007715E0" w:rsidP="00767B74">
            <w:pPr>
              <w:rPr>
                <w:rFonts w:ascii="Calibri" w:eastAsia="Calibri" w:hAnsi="Calibri"/>
                <w:b/>
                <w:bCs/>
                <w:color w:val="FFFFFF"/>
              </w:rPr>
            </w:pPr>
            <w:r w:rsidRPr="00843AE7">
              <w:rPr>
                <w:rFonts w:ascii="Calibri" w:eastAsia="Calibri" w:hAnsi="Calibri"/>
                <w:b/>
                <w:bCs/>
                <w:color w:val="FFFFFF"/>
              </w:rPr>
              <w:t xml:space="preserve">Broj branilaca koji su branili jednom </w:t>
            </w:r>
          </w:p>
        </w:tc>
        <w:tc>
          <w:tcPr>
            <w:tcW w:w="2337"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11</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(47.8%)</w:t>
            </w:r>
          </w:p>
        </w:tc>
        <w:tc>
          <w:tcPr>
            <w:tcW w:w="2338"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13</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(52.2%)</w:t>
            </w:r>
          </w:p>
        </w:tc>
        <w:tc>
          <w:tcPr>
            <w:tcW w:w="2338"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19</w:t>
            </w:r>
          </w:p>
          <w:p w:rsidR="007715E0" w:rsidRPr="00843AE7" w:rsidRDefault="007715E0" w:rsidP="00767B74">
            <w:pPr>
              <w:spacing w:line="360" w:lineRule="auto"/>
              <w:jc w:val="center"/>
              <w:rPr>
                <w:rFonts w:ascii="Calibri" w:eastAsia="Calibri" w:hAnsi="Calibri"/>
                <w:b/>
                <w:color w:val="4F81BD"/>
              </w:rPr>
            </w:pPr>
            <w:r w:rsidRPr="00843AE7">
              <w:rPr>
                <w:rFonts w:ascii="Calibri" w:eastAsia="Calibri" w:hAnsi="Calibri"/>
                <w:b/>
                <w:color w:val="4F81BD"/>
              </w:rPr>
              <w:t>(50%)</w:t>
            </w:r>
          </w:p>
        </w:tc>
      </w:tr>
      <w:tr w:rsidR="007715E0" w:rsidTr="00767B74">
        <w:tc>
          <w:tcPr>
            <w:tcW w:w="2337" w:type="dxa"/>
            <w:tcBorders>
              <w:left w:val="single" w:sz="4" w:space="0" w:color="FFFFFF"/>
            </w:tcBorders>
            <w:shd w:val="clear" w:color="auto" w:fill="4472C4"/>
          </w:tcPr>
          <w:p w:rsidR="007715E0" w:rsidRPr="00843AE7" w:rsidRDefault="007715E0" w:rsidP="00767B74">
            <w:pPr>
              <w:rPr>
                <w:rFonts w:ascii="Calibri" w:eastAsia="Calibri" w:hAnsi="Calibri"/>
                <w:b/>
                <w:bCs/>
                <w:color w:val="FFFFFF"/>
              </w:rPr>
            </w:pPr>
            <w:r w:rsidRPr="00843AE7">
              <w:rPr>
                <w:rFonts w:ascii="Calibri" w:eastAsia="Calibri" w:hAnsi="Calibri"/>
                <w:b/>
                <w:bCs/>
                <w:color w:val="FFFFFF"/>
              </w:rPr>
              <w:lastRenderedPageBreak/>
              <w:t>Broj branilaca koji su branili 2 ili više puta</w:t>
            </w:r>
          </w:p>
        </w:tc>
        <w:tc>
          <w:tcPr>
            <w:tcW w:w="2337"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12</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(52.2%)</w:t>
            </w:r>
          </w:p>
        </w:tc>
        <w:tc>
          <w:tcPr>
            <w:tcW w:w="2338"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10</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(43.8%)</w:t>
            </w:r>
          </w:p>
        </w:tc>
        <w:tc>
          <w:tcPr>
            <w:tcW w:w="2338"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19</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(50%)</w:t>
            </w:r>
          </w:p>
        </w:tc>
      </w:tr>
      <w:tr w:rsidR="007715E0" w:rsidTr="00767B74">
        <w:tc>
          <w:tcPr>
            <w:tcW w:w="2337" w:type="dxa"/>
            <w:tcBorders>
              <w:left w:val="single" w:sz="4" w:space="0" w:color="FFFFFF"/>
            </w:tcBorders>
            <w:shd w:val="clear" w:color="auto" w:fill="4472C4"/>
          </w:tcPr>
          <w:p w:rsidR="007715E0" w:rsidRPr="00843AE7" w:rsidRDefault="007715E0" w:rsidP="00767B74">
            <w:pPr>
              <w:rPr>
                <w:rFonts w:ascii="Calibri" w:eastAsia="Calibri" w:hAnsi="Calibri"/>
                <w:b/>
                <w:bCs/>
                <w:color w:val="FFFFFF"/>
              </w:rPr>
            </w:pPr>
            <w:r w:rsidRPr="00843AE7">
              <w:rPr>
                <w:rFonts w:ascii="Calibri" w:eastAsia="Calibri" w:hAnsi="Calibri"/>
                <w:b/>
                <w:bCs/>
                <w:color w:val="FFFFFF"/>
              </w:rPr>
              <w:t>Ukupan broj slučajeva</w:t>
            </w:r>
          </w:p>
        </w:tc>
        <w:tc>
          <w:tcPr>
            <w:tcW w:w="2337"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 xml:space="preserve">47 </w:t>
            </w:r>
          </w:p>
        </w:tc>
        <w:tc>
          <w:tcPr>
            <w:tcW w:w="2338"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39</w:t>
            </w:r>
          </w:p>
        </w:tc>
        <w:tc>
          <w:tcPr>
            <w:tcW w:w="2338"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86</w:t>
            </w:r>
          </w:p>
        </w:tc>
      </w:tr>
      <w:tr w:rsidR="007715E0" w:rsidTr="00767B74">
        <w:tc>
          <w:tcPr>
            <w:tcW w:w="2337" w:type="dxa"/>
            <w:tcBorders>
              <w:left w:val="single" w:sz="4" w:space="0" w:color="FFFFFF"/>
            </w:tcBorders>
            <w:shd w:val="clear" w:color="auto" w:fill="4472C4"/>
          </w:tcPr>
          <w:p w:rsidR="007715E0" w:rsidRPr="00843AE7" w:rsidRDefault="007715E0" w:rsidP="00767B74">
            <w:pPr>
              <w:rPr>
                <w:rFonts w:ascii="Calibri" w:eastAsia="Calibri" w:hAnsi="Calibri"/>
                <w:b/>
                <w:bCs/>
                <w:color w:val="FFFFFF"/>
              </w:rPr>
            </w:pPr>
            <w:r w:rsidRPr="00843AE7">
              <w:rPr>
                <w:rFonts w:ascii="Calibri" w:eastAsia="Calibri" w:hAnsi="Calibri"/>
                <w:b/>
                <w:bCs/>
                <w:color w:val="FFFFFF"/>
              </w:rPr>
              <w:t>Broj advokata na listi</w:t>
            </w:r>
          </w:p>
        </w:tc>
        <w:tc>
          <w:tcPr>
            <w:tcW w:w="2337"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761</w:t>
            </w:r>
          </w:p>
        </w:tc>
        <w:tc>
          <w:tcPr>
            <w:tcW w:w="2338"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802</w:t>
            </w:r>
          </w:p>
        </w:tc>
        <w:tc>
          <w:tcPr>
            <w:tcW w:w="2338" w:type="dxa"/>
            <w:shd w:val="clear" w:color="auto" w:fill="B4C6E7"/>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781</w:t>
            </w:r>
          </w:p>
        </w:tc>
      </w:tr>
      <w:tr w:rsidR="007715E0" w:rsidTr="00767B74">
        <w:tc>
          <w:tcPr>
            <w:tcW w:w="2337" w:type="dxa"/>
            <w:tcBorders>
              <w:left w:val="single" w:sz="4" w:space="0" w:color="FFFFFF"/>
              <w:bottom w:val="single" w:sz="4" w:space="0" w:color="FFFFFF"/>
            </w:tcBorders>
            <w:shd w:val="clear" w:color="auto" w:fill="4472C4"/>
          </w:tcPr>
          <w:p w:rsidR="007715E0" w:rsidRPr="00843AE7" w:rsidRDefault="007715E0" w:rsidP="00767B74">
            <w:pPr>
              <w:rPr>
                <w:rFonts w:ascii="Calibri" w:eastAsia="Calibri" w:hAnsi="Calibri"/>
                <w:b/>
                <w:bCs/>
                <w:color w:val="FFFFFF"/>
              </w:rPr>
            </w:pPr>
            <w:r w:rsidRPr="00843AE7">
              <w:rPr>
                <w:rFonts w:ascii="Calibri" w:eastAsia="Calibri" w:hAnsi="Calibri"/>
                <w:b/>
                <w:bCs/>
                <w:color w:val="FFFFFF"/>
              </w:rPr>
              <w:t>Broj branilaca koji nije nijednom postavljan</w:t>
            </w:r>
          </w:p>
        </w:tc>
        <w:tc>
          <w:tcPr>
            <w:tcW w:w="2337"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738</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(97.0%)</w:t>
            </w:r>
          </w:p>
        </w:tc>
        <w:tc>
          <w:tcPr>
            <w:tcW w:w="2338"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779</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(97.1%)</w:t>
            </w:r>
          </w:p>
        </w:tc>
        <w:tc>
          <w:tcPr>
            <w:tcW w:w="2338" w:type="dxa"/>
            <w:shd w:val="clear" w:color="auto" w:fill="D9E2F3"/>
          </w:tcPr>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743</w:t>
            </w:r>
          </w:p>
          <w:p w:rsidR="007715E0" w:rsidRPr="00843AE7" w:rsidRDefault="007715E0" w:rsidP="00767B74">
            <w:pPr>
              <w:jc w:val="center"/>
              <w:rPr>
                <w:rFonts w:ascii="Calibri" w:eastAsia="Calibri" w:hAnsi="Calibri"/>
                <w:b/>
                <w:color w:val="4F81BD"/>
              </w:rPr>
            </w:pPr>
            <w:r w:rsidRPr="00843AE7">
              <w:rPr>
                <w:rFonts w:ascii="Calibri" w:eastAsia="Calibri" w:hAnsi="Calibri"/>
                <w:b/>
                <w:color w:val="4F81BD"/>
              </w:rPr>
              <w:t>(95.1%)</w:t>
            </w:r>
          </w:p>
        </w:tc>
      </w:tr>
    </w:tbl>
    <w:p w:rsidR="007715E0" w:rsidRPr="00756F50" w:rsidRDefault="007715E0" w:rsidP="007715E0">
      <w:pPr>
        <w:jc w:val="center"/>
        <w:rPr>
          <w:b/>
          <w:color w:val="1F497D"/>
          <w:sz w:val="28"/>
          <w:szCs w:val="28"/>
          <w:lang w:val="sr-Latn-RS"/>
        </w:rPr>
      </w:pPr>
    </w:p>
    <w:p w:rsidR="007715E0" w:rsidRPr="00756F50" w:rsidRDefault="007715E0" w:rsidP="007715E0">
      <w:pPr>
        <w:jc w:val="center"/>
        <w:rPr>
          <w:b/>
          <w:color w:val="1F497D"/>
          <w:sz w:val="28"/>
          <w:szCs w:val="28"/>
          <w:lang w:val="sr-Latn-RS"/>
        </w:rPr>
      </w:pPr>
    </w:p>
    <w:p w:rsidR="007715E0" w:rsidRPr="00756F50" w:rsidRDefault="007715E0" w:rsidP="007715E0">
      <w:pPr>
        <w:jc w:val="center"/>
        <w:rPr>
          <w:b/>
          <w:color w:val="1F497D"/>
          <w:sz w:val="28"/>
          <w:szCs w:val="28"/>
          <w:lang w:val="sr-Latn-RS"/>
        </w:rPr>
      </w:pPr>
    </w:p>
    <w:p w:rsidR="007715E0" w:rsidRDefault="007715E0" w:rsidP="007715E0">
      <w:pPr>
        <w:jc w:val="center"/>
        <w:rPr>
          <w:b/>
          <w:color w:val="4F81BD"/>
          <w:sz w:val="28"/>
          <w:szCs w:val="28"/>
          <w:lang w:val="sr-Latn-RS"/>
        </w:rPr>
      </w:pPr>
      <w:r w:rsidRPr="00756F50">
        <w:rPr>
          <w:b/>
          <w:color w:val="4F81BD"/>
          <w:sz w:val="28"/>
          <w:szCs w:val="28"/>
          <w:lang w:val="sr-Latn-RS"/>
        </w:rPr>
        <w:t xml:space="preserve">Prikaz zastupljenosti branilaca po službenoj dužnosti za 2015. i 2016. godinu </w:t>
      </w:r>
    </w:p>
    <w:p w:rsidR="007715E0" w:rsidRDefault="007715E0" w:rsidP="007715E0">
      <w:pPr>
        <w:jc w:val="center"/>
        <w:rPr>
          <w:b/>
          <w:color w:val="4F81BD"/>
          <w:sz w:val="28"/>
          <w:szCs w:val="28"/>
          <w:lang w:val="sr-Latn-RS"/>
        </w:rPr>
      </w:pPr>
    </w:p>
    <w:p w:rsidR="007715E0" w:rsidRPr="00756F50" w:rsidRDefault="007715E0" w:rsidP="007715E0">
      <w:pPr>
        <w:jc w:val="center"/>
        <w:rPr>
          <w:b/>
          <w:color w:val="4F81BD"/>
          <w:sz w:val="28"/>
          <w:szCs w:val="28"/>
          <w:lang w:val="sr-Latn-RS"/>
        </w:rPr>
      </w:pPr>
    </w:p>
    <w:p w:rsidR="007715E0" w:rsidRDefault="007715E0" w:rsidP="007715E0">
      <w:pPr>
        <w:rPr>
          <w:b/>
          <w:i/>
        </w:rPr>
      </w:pPr>
      <w:r>
        <w:rPr>
          <w:b/>
          <w:noProof/>
          <w:lang w:val="sr-Latn-ME" w:eastAsia="sr-Latn-ME"/>
        </w:rPr>
        <w:drawing>
          <wp:inline distT="0" distB="0" distL="0" distR="0">
            <wp:extent cx="5953125" cy="3105150"/>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15E0" w:rsidRDefault="007715E0" w:rsidP="007715E0">
      <w:pPr>
        <w:rPr>
          <w:b/>
          <w:i/>
        </w:rPr>
      </w:pPr>
    </w:p>
    <w:p w:rsidR="007715E0" w:rsidRPr="008B7645" w:rsidRDefault="007715E0" w:rsidP="007715E0">
      <w:pPr>
        <w:rPr>
          <w:b/>
          <w:color w:val="1F497D"/>
          <w:sz w:val="28"/>
          <w:szCs w:val="28"/>
          <w:lang w:val="sr-Latn-RS"/>
        </w:rPr>
      </w:pPr>
    </w:p>
    <w:p w:rsidR="007715E0" w:rsidRPr="008B7645" w:rsidRDefault="007715E0" w:rsidP="007715E0">
      <w:pPr>
        <w:jc w:val="both"/>
      </w:pPr>
      <w:r w:rsidRPr="008B7645">
        <w:t>Kao što se jasno može vidjeti na osnovu gore prikazanih tabela</w:t>
      </w:r>
      <w:proofErr w:type="gramStart"/>
      <w:r w:rsidRPr="008B7645">
        <w:t>,  obradom</w:t>
      </w:r>
      <w:proofErr w:type="gramEnd"/>
      <w:r w:rsidRPr="008B7645">
        <w:t xml:space="preserve"> ukupnog uzorka, dobijen je podatak o broju branilaca koji su postavljani kao branioci po službenoj dužnosti, i to </w:t>
      </w:r>
      <w:r>
        <w:t>pred</w:t>
      </w:r>
      <w:r w:rsidRPr="008B7645">
        <w:t xml:space="preserve"> osnovni</w:t>
      </w:r>
      <w:r>
        <w:t>m i  višim sudovima, kao i pred</w:t>
      </w:r>
      <w:r w:rsidRPr="008B7645">
        <w:t xml:space="preserve"> osnovnim i višim tužilaštvima u Crnoj Gori. Analiza podataka potvrđuje </w:t>
      </w:r>
      <w:r w:rsidRPr="008B7645">
        <w:lastRenderedPageBreak/>
        <w:t xml:space="preserve">tezu postavljenu </w:t>
      </w:r>
      <w:proofErr w:type="gramStart"/>
      <w:r w:rsidRPr="008B7645">
        <w:t>na</w:t>
      </w:r>
      <w:proofErr w:type="gramEnd"/>
      <w:r w:rsidRPr="008B7645">
        <w:t xml:space="preserve"> samom početku ovog Izvještaja, a to je da se pril</w:t>
      </w:r>
      <w:r>
        <w:t xml:space="preserve">ikom postavljanja branilaca </w:t>
      </w:r>
      <w:r w:rsidRPr="00064B3F">
        <w:rPr>
          <w:i/>
        </w:rPr>
        <w:t xml:space="preserve">ex officio </w:t>
      </w:r>
      <w:r w:rsidRPr="008B7645">
        <w:rPr>
          <w:b/>
        </w:rPr>
        <w:t>ne poštuje redosled sa spiska koji utvrđuje Advokatska komora Crne Gore.</w:t>
      </w:r>
      <w:r w:rsidRPr="008B7645">
        <w:t xml:space="preserve"> Dakle, postoji značajan broj branilaca </w:t>
      </w:r>
      <w:proofErr w:type="gramStart"/>
      <w:r w:rsidRPr="008B7645">
        <w:t>sa</w:t>
      </w:r>
      <w:proofErr w:type="gramEnd"/>
      <w:r w:rsidRPr="008B7645">
        <w:t xml:space="preserve"> spiska koji nikada tokom perioda od dvije godine nijesu postavljeni da budu branioci po službenoj dužnosti. Kada je riječ o osnovnim sudovima u Crnoj Gori, postoji 571 (73%) branilalac koji nije nikada zastupao po službenoj dužnosti, pred višim sudovima je njih ukupno 673(82.2%)</w:t>
      </w:r>
      <w:proofErr w:type="gramStart"/>
      <w:r w:rsidRPr="008B7645">
        <w:t>,dok</w:t>
      </w:r>
      <w:proofErr w:type="gramEnd"/>
      <w:r w:rsidRPr="008B7645">
        <w:t xml:space="preserve"> je pred osnovnim tužilaštvi</w:t>
      </w:r>
      <w:r>
        <w:t>ma taj broj 661(84.6%), a pred V</w:t>
      </w:r>
      <w:r w:rsidRPr="008B7645">
        <w:t xml:space="preserve">išim tužilaštvom u Bijelom Polju i </w:t>
      </w:r>
      <w:r>
        <w:t>Specijalnim tužilaštvom</w:t>
      </w:r>
      <w:r w:rsidRPr="008B7645">
        <w:t xml:space="preserve"> je bilo ukupno </w:t>
      </w:r>
      <w:r>
        <w:t>743</w:t>
      </w:r>
      <w:r w:rsidRPr="008B7645">
        <w:t xml:space="preserve"> (</w:t>
      </w:r>
      <w:r>
        <w:t>95.1</w:t>
      </w:r>
      <w:r w:rsidRPr="008B7645">
        <w:t>%) brani</w:t>
      </w:r>
      <w:r>
        <w:t>oca</w:t>
      </w:r>
      <w:r w:rsidRPr="008B7645">
        <w:t xml:space="preserve"> koji se</w:t>
      </w:r>
      <w:r>
        <w:t xml:space="preserve"> tokom izvještajnog perioda </w:t>
      </w:r>
      <w:r w:rsidRPr="008B7645">
        <w:t xml:space="preserve"> nijesu pojavljivali pred </w:t>
      </w:r>
      <w:r>
        <w:t xml:space="preserve">ovim </w:t>
      </w:r>
      <w:r w:rsidRPr="008B7645">
        <w:t xml:space="preserve">tužilaštvima u svojstvu branioca po službenoj odbrani. </w:t>
      </w:r>
    </w:p>
    <w:p w:rsidR="007715E0" w:rsidRPr="008B7645" w:rsidRDefault="007715E0" w:rsidP="007715E0">
      <w:pPr>
        <w:jc w:val="both"/>
      </w:pPr>
      <w:r>
        <w:t>S druge strane,</w:t>
      </w:r>
      <w:r w:rsidRPr="008B7645">
        <w:t xml:space="preserve"> kada je riječ o onim braniocima koji su postavljani </w:t>
      </w:r>
      <w:proofErr w:type="gramStart"/>
      <w:r w:rsidRPr="008B7645">
        <w:t>od</w:t>
      </w:r>
      <w:proofErr w:type="gramEnd"/>
      <w:r w:rsidRPr="008B7645">
        <w:t xml:space="preserve"> strane sudova i tužilaštava</w:t>
      </w:r>
      <w:r>
        <w:t xml:space="preserve"> za branioce po službenoj dužnostti</w:t>
      </w:r>
      <w:r w:rsidRPr="008B7645">
        <w:t xml:space="preserve">, može se uočiti </w:t>
      </w:r>
      <w:r w:rsidRPr="008B7645">
        <w:rPr>
          <w:b/>
        </w:rPr>
        <w:t>neravnomjeran broj odbrana po svakom braniocu.</w:t>
      </w:r>
      <w:r w:rsidRPr="008B7645">
        <w:t xml:space="preserve"> </w:t>
      </w:r>
      <w:proofErr w:type="gramStart"/>
      <w:r w:rsidRPr="008B7645">
        <w:t>U prikazanim grafikonima, vidi se da je najznačajniji broj onih koji su postavljani tokom izvještajnog perioda samo jednom, a pojavljuju se i oni branioci koji su tokom</w:t>
      </w:r>
      <w:r>
        <w:t xml:space="preserve"> </w:t>
      </w:r>
      <w:r w:rsidRPr="008B7645">
        <w:t>ovog perioda zastupali klijente po službenoj dužnosti i čak preko dvadeset puta</w:t>
      </w:r>
      <w:r>
        <w:t>.</w:t>
      </w:r>
      <w:proofErr w:type="gramEnd"/>
      <w:r>
        <w:t xml:space="preserve"> </w:t>
      </w:r>
    </w:p>
    <w:p w:rsidR="007715E0" w:rsidRDefault="007715E0" w:rsidP="007715E0">
      <w:pPr>
        <w:jc w:val="both"/>
        <w:rPr>
          <w:rFonts w:eastAsia="Calibri"/>
          <w:b/>
          <w:i/>
          <w:lang w:val="sr-Latn-ME"/>
        </w:rPr>
      </w:pPr>
    </w:p>
    <w:p w:rsidR="007715E0" w:rsidRDefault="007715E0" w:rsidP="007715E0">
      <w:pPr>
        <w:jc w:val="both"/>
        <w:rPr>
          <w:rFonts w:eastAsia="Calibri"/>
          <w:b/>
          <w:i/>
          <w:lang w:val="sr-Latn-ME"/>
        </w:rPr>
      </w:pPr>
      <w:r>
        <w:rPr>
          <w:rFonts w:eastAsia="Calibri"/>
          <w:b/>
          <w:i/>
          <w:lang w:val="sr-Latn-ME"/>
        </w:rPr>
        <w:t xml:space="preserve">4.1.7. </w:t>
      </w:r>
      <w:r w:rsidRPr="007E3D12">
        <w:rPr>
          <w:rFonts w:eastAsia="Calibri"/>
          <w:b/>
          <w:i/>
          <w:lang w:val="sr-Latn-ME"/>
        </w:rPr>
        <w:t xml:space="preserve">Lista najplaćenijih advokata u 2015. i 2016. godini </w:t>
      </w:r>
    </w:p>
    <w:p w:rsidR="007715E0" w:rsidRDefault="007715E0" w:rsidP="007715E0">
      <w:pPr>
        <w:jc w:val="both"/>
        <w:rPr>
          <w:rFonts w:eastAsia="Calibri"/>
          <w:lang w:val="sr-Latn-ME"/>
        </w:rPr>
      </w:pPr>
      <w:r w:rsidRPr="00512545">
        <w:rPr>
          <w:rFonts w:eastAsia="Calibri"/>
          <w:lang w:val="sr-Latn-ME"/>
        </w:rPr>
        <w:t xml:space="preserve">U prilog činjenici da </w:t>
      </w:r>
      <w:r>
        <w:rPr>
          <w:rFonts w:eastAsia="Calibri"/>
          <w:lang w:val="sr-Latn-ME"/>
        </w:rPr>
        <w:t>postoji određeni broj privilegovanih advokata</w:t>
      </w:r>
      <w:r w:rsidRPr="00512545">
        <w:rPr>
          <w:rFonts w:eastAsia="Calibri"/>
          <w:lang w:val="sr-Latn-ME"/>
        </w:rPr>
        <w:t>, govori i lista najplaćenijih advokata u poslednje dvije godine,</w:t>
      </w:r>
      <w:r>
        <w:rPr>
          <w:rFonts w:eastAsia="Calibri"/>
          <w:lang w:val="sr-Latn-ME"/>
        </w:rPr>
        <w:t xml:space="preserve"> </w:t>
      </w:r>
      <w:r w:rsidRPr="00512545">
        <w:rPr>
          <w:rFonts w:eastAsia="Calibri"/>
          <w:lang w:val="sr-Latn-ME"/>
        </w:rPr>
        <w:t xml:space="preserve">na osnovu koje se lako može zaključiti da sudovi i tužilaštva ne poštuju redosled sa liste koju sačinjava AKCG. </w:t>
      </w:r>
    </w:p>
    <w:p w:rsidR="007715E0" w:rsidRDefault="007715E0" w:rsidP="007715E0">
      <w:pPr>
        <w:jc w:val="both"/>
        <w:rPr>
          <w:rFonts w:eastAsia="Calibri"/>
          <w:b/>
          <w:i/>
          <w:lang w:val="sr-Latn-M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4202"/>
        <w:gridCol w:w="4342"/>
      </w:tblGrid>
      <w:tr w:rsidR="007715E0" w:rsidRPr="00DC4B3F" w:rsidTr="00767B74">
        <w:trPr>
          <w:trHeight w:val="300"/>
        </w:trPr>
        <w:tc>
          <w:tcPr>
            <w:tcW w:w="8931" w:type="dxa"/>
            <w:gridSpan w:val="3"/>
            <w:shd w:val="clear" w:color="auto" w:fill="E7E6E6"/>
            <w:vAlign w:val="center"/>
          </w:tcPr>
          <w:p w:rsidR="007715E0" w:rsidRPr="00DC4B3F" w:rsidRDefault="007715E0" w:rsidP="00767B74">
            <w:pPr>
              <w:jc w:val="center"/>
              <w:rPr>
                <w:rFonts w:ascii="Calibri" w:eastAsia="Calibri" w:hAnsi="Calibri"/>
                <w:b/>
                <w:lang w:val="sr-Latn-ME"/>
              </w:rPr>
            </w:pPr>
            <w:r>
              <w:rPr>
                <w:rFonts w:ascii="Calibri" w:eastAsia="Calibri" w:hAnsi="Calibri"/>
                <w:b/>
                <w:lang w:val="sr-Latn-ME"/>
              </w:rPr>
              <w:t xml:space="preserve">  2015</w:t>
            </w:r>
          </w:p>
        </w:tc>
      </w:tr>
      <w:tr w:rsidR="007715E0" w:rsidRPr="00DC4B3F" w:rsidTr="00767B74">
        <w:trPr>
          <w:trHeight w:val="280"/>
        </w:trPr>
        <w:tc>
          <w:tcPr>
            <w:tcW w:w="4589" w:type="dxa"/>
            <w:gridSpan w:val="2"/>
            <w:shd w:val="clear" w:color="auto" w:fill="E7E6E6"/>
            <w:vAlign w:val="center"/>
          </w:tcPr>
          <w:p w:rsidR="007715E0" w:rsidRPr="00DC4B3F" w:rsidRDefault="007715E0" w:rsidP="00767B74">
            <w:pPr>
              <w:rPr>
                <w:rFonts w:ascii="Calibri" w:eastAsia="Calibri" w:hAnsi="Calibri"/>
                <w:b/>
                <w:lang w:val="sr-Latn-ME"/>
              </w:rPr>
            </w:pPr>
            <w:r>
              <w:rPr>
                <w:rFonts w:ascii="Calibri" w:eastAsia="Calibri" w:hAnsi="Calibri"/>
                <w:b/>
                <w:lang w:val="sr-Latn-ME"/>
              </w:rPr>
              <w:t xml:space="preserve">      Ime i prezime advokata</w:t>
            </w:r>
          </w:p>
        </w:tc>
        <w:tc>
          <w:tcPr>
            <w:tcW w:w="4342" w:type="dxa"/>
            <w:shd w:val="clear" w:color="auto" w:fill="E7E6E6"/>
          </w:tcPr>
          <w:p w:rsidR="007715E0" w:rsidRPr="00DC4B3F" w:rsidRDefault="007715E0" w:rsidP="00767B74">
            <w:pPr>
              <w:jc w:val="both"/>
              <w:rPr>
                <w:rFonts w:ascii="Calibri" w:eastAsia="Calibri" w:hAnsi="Calibri"/>
                <w:b/>
                <w:lang w:val="sr-Latn-ME"/>
              </w:rPr>
            </w:pPr>
            <w:r>
              <w:rPr>
                <w:rFonts w:ascii="Calibri" w:eastAsia="Calibri" w:hAnsi="Calibri"/>
                <w:b/>
                <w:lang w:val="sr-Latn-ME"/>
              </w:rPr>
              <w:t>Ukupno isplaćeno</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1.</w:t>
            </w:r>
          </w:p>
        </w:tc>
        <w:tc>
          <w:tcPr>
            <w:tcW w:w="420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K. F.</w:t>
            </w:r>
          </w:p>
        </w:tc>
        <w:tc>
          <w:tcPr>
            <w:tcW w:w="434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 xml:space="preserve">23.770,23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2.</w:t>
            </w:r>
          </w:p>
        </w:tc>
        <w:tc>
          <w:tcPr>
            <w:tcW w:w="420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G. H.</w:t>
            </w:r>
          </w:p>
        </w:tc>
        <w:tc>
          <w:tcPr>
            <w:tcW w:w="4342" w:type="dxa"/>
            <w:shd w:val="clear" w:color="auto" w:fill="auto"/>
          </w:tcPr>
          <w:p w:rsidR="007715E0" w:rsidRPr="00DC4B3F" w:rsidRDefault="007715E0" w:rsidP="00767B74">
            <w:pPr>
              <w:jc w:val="both"/>
              <w:rPr>
                <w:rFonts w:ascii="Calibri" w:eastAsia="Calibri" w:hAnsi="Calibri"/>
                <w:lang w:val="sr-Latn-ME"/>
              </w:rPr>
            </w:pPr>
            <w:r w:rsidRPr="00DC4B3F">
              <w:rPr>
                <w:rFonts w:ascii="Calibri" w:eastAsia="Calibri" w:hAnsi="Calibri"/>
                <w:lang w:val="sr-Latn-ME"/>
              </w:rPr>
              <w:t>15.410,49</w:t>
            </w:r>
            <w:r>
              <w:rPr>
                <w:rFonts w:ascii="Calibri" w:eastAsia="Calibri" w:hAnsi="Calibri"/>
                <w:lang w:val="sr-Latn-ME"/>
              </w:rPr>
              <w:t xml:space="preserve">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3.</w:t>
            </w:r>
          </w:p>
        </w:tc>
        <w:tc>
          <w:tcPr>
            <w:tcW w:w="420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K. D.</w:t>
            </w:r>
          </w:p>
        </w:tc>
        <w:tc>
          <w:tcPr>
            <w:tcW w:w="4342" w:type="dxa"/>
            <w:shd w:val="clear" w:color="auto" w:fill="auto"/>
          </w:tcPr>
          <w:p w:rsidR="007715E0" w:rsidRPr="00DC4B3F" w:rsidRDefault="007715E0" w:rsidP="00767B74">
            <w:pPr>
              <w:jc w:val="both"/>
              <w:rPr>
                <w:rFonts w:ascii="Calibri" w:eastAsia="Calibri" w:hAnsi="Calibri"/>
                <w:lang w:val="sr-Latn-ME"/>
              </w:rPr>
            </w:pPr>
            <w:r w:rsidRPr="00DC4B3F">
              <w:rPr>
                <w:rFonts w:ascii="Calibri" w:eastAsia="Calibri" w:hAnsi="Calibri"/>
                <w:lang w:val="sr-Latn-ME"/>
              </w:rPr>
              <w:t>9.936,49</w:t>
            </w:r>
            <w:r>
              <w:rPr>
                <w:rFonts w:ascii="Calibri" w:eastAsia="Calibri" w:hAnsi="Calibri"/>
                <w:lang w:val="sr-Latn-ME"/>
              </w:rPr>
              <w:t xml:space="preserve">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4.</w:t>
            </w:r>
          </w:p>
        </w:tc>
        <w:tc>
          <w:tcPr>
            <w:tcW w:w="420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H. A.</w:t>
            </w:r>
          </w:p>
        </w:tc>
        <w:tc>
          <w:tcPr>
            <w:tcW w:w="434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 xml:space="preserve">6.972,65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5.</w:t>
            </w:r>
          </w:p>
        </w:tc>
        <w:tc>
          <w:tcPr>
            <w:tcW w:w="420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B. S.</w:t>
            </w:r>
          </w:p>
        </w:tc>
        <w:tc>
          <w:tcPr>
            <w:tcW w:w="4342"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 xml:space="preserve">6.450 </w:t>
            </w:r>
            <w:r>
              <w:rPr>
                <w:rFonts w:ascii="Calibri" w:eastAsia="Calibri" w:hAnsi="Calibri" w:cs="Calibri"/>
                <w:lang w:val="sr-Latn-ME"/>
              </w:rPr>
              <w:t>€</w:t>
            </w:r>
          </w:p>
        </w:tc>
      </w:tr>
    </w:tbl>
    <w:p w:rsidR="007715E0" w:rsidRPr="00512545" w:rsidRDefault="007715E0" w:rsidP="007715E0">
      <w:pPr>
        <w:jc w:val="both"/>
        <w:rPr>
          <w:rFonts w:eastAsia="Calibri"/>
          <w:b/>
          <w:lang w:val="sr-Latn-M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4206"/>
        <w:gridCol w:w="4338"/>
      </w:tblGrid>
      <w:tr w:rsidR="007715E0" w:rsidRPr="00DC4B3F" w:rsidTr="00767B74">
        <w:trPr>
          <w:trHeight w:val="300"/>
        </w:trPr>
        <w:tc>
          <w:tcPr>
            <w:tcW w:w="8931" w:type="dxa"/>
            <w:gridSpan w:val="3"/>
            <w:shd w:val="clear" w:color="auto" w:fill="E7E6E6"/>
            <w:vAlign w:val="center"/>
          </w:tcPr>
          <w:p w:rsidR="007715E0" w:rsidRPr="00DC4B3F" w:rsidRDefault="007715E0" w:rsidP="00767B74">
            <w:pPr>
              <w:jc w:val="center"/>
              <w:rPr>
                <w:rFonts w:ascii="Calibri" w:eastAsia="Calibri" w:hAnsi="Calibri"/>
                <w:b/>
                <w:lang w:val="sr-Latn-ME"/>
              </w:rPr>
            </w:pPr>
            <w:r>
              <w:rPr>
                <w:rFonts w:ascii="Calibri" w:eastAsia="Calibri" w:hAnsi="Calibri"/>
                <w:b/>
                <w:lang w:val="sr-Latn-ME"/>
              </w:rPr>
              <w:t xml:space="preserve">   2016</w:t>
            </w:r>
          </w:p>
        </w:tc>
      </w:tr>
      <w:tr w:rsidR="007715E0" w:rsidRPr="00DC4B3F" w:rsidTr="00767B74">
        <w:trPr>
          <w:trHeight w:val="280"/>
        </w:trPr>
        <w:tc>
          <w:tcPr>
            <w:tcW w:w="4593" w:type="dxa"/>
            <w:gridSpan w:val="2"/>
            <w:shd w:val="clear" w:color="auto" w:fill="E7E6E6"/>
            <w:vAlign w:val="center"/>
          </w:tcPr>
          <w:p w:rsidR="007715E0" w:rsidRPr="00DC4B3F" w:rsidRDefault="007715E0" w:rsidP="00767B74">
            <w:pPr>
              <w:rPr>
                <w:rFonts w:ascii="Calibri" w:eastAsia="Calibri" w:hAnsi="Calibri"/>
                <w:b/>
                <w:lang w:val="sr-Latn-ME"/>
              </w:rPr>
            </w:pPr>
            <w:r>
              <w:rPr>
                <w:rFonts w:ascii="Calibri" w:eastAsia="Calibri" w:hAnsi="Calibri"/>
                <w:b/>
                <w:lang w:val="sr-Latn-ME"/>
              </w:rPr>
              <w:t xml:space="preserve">      Ime i prezime advokata</w:t>
            </w:r>
          </w:p>
        </w:tc>
        <w:tc>
          <w:tcPr>
            <w:tcW w:w="4338" w:type="dxa"/>
            <w:shd w:val="clear" w:color="auto" w:fill="E7E6E6"/>
          </w:tcPr>
          <w:p w:rsidR="007715E0" w:rsidRPr="00DC4B3F" w:rsidRDefault="007715E0" w:rsidP="00767B74">
            <w:pPr>
              <w:jc w:val="both"/>
              <w:rPr>
                <w:rFonts w:ascii="Calibri" w:eastAsia="Calibri" w:hAnsi="Calibri"/>
                <w:b/>
                <w:lang w:val="sr-Latn-ME"/>
              </w:rPr>
            </w:pPr>
            <w:r>
              <w:rPr>
                <w:rFonts w:ascii="Calibri" w:eastAsia="Calibri" w:hAnsi="Calibri"/>
                <w:b/>
                <w:lang w:val="sr-Latn-ME"/>
              </w:rPr>
              <w:t>Ukupno isplaćeno</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1.</w:t>
            </w:r>
          </w:p>
        </w:tc>
        <w:tc>
          <w:tcPr>
            <w:tcW w:w="4206"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B. Z.</w:t>
            </w:r>
          </w:p>
        </w:tc>
        <w:tc>
          <w:tcPr>
            <w:tcW w:w="4338" w:type="dxa"/>
            <w:shd w:val="clear" w:color="auto" w:fill="auto"/>
          </w:tcPr>
          <w:p w:rsidR="007715E0" w:rsidRPr="00DC4B3F" w:rsidRDefault="007715E0" w:rsidP="00767B74">
            <w:pPr>
              <w:rPr>
                <w:rFonts w:ascii="Calibri" w:eastAsia="Calibri" w:hAnsi="Calibri"/>
                <w:lang w:val="sr-Latn-ME"/>
              </w:rPr>
            </w:pPr>
            <w:r>
              <w:rPr>
                <w:rFonts w:ascii="Calibri" w:eastAsia="Calibri" w:hAnsi="Calibri"/>
                <w:lang w:val="sr-Latn-ME"/>
              </w:rPr>
              <w:t xml:space="preserve">36.434,06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2.</w:t>
            </w:r>
          </w:p>
        </w:tc>
        <w:tc>
          <w:tcPr>
            <w:tcW w:w="4206"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A. B.</w:t>
            </w:r>
          </w:p>
        </w:tc>
        <w:tc>
          <w:tcPr>
            <w:tcW w:w="4338"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 xml:space="preserve">26.308,81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3.</w:t>
            </w:r>
          </w:p>
        </w:tc>
        <w:tc>
          <w:tcPr>
            <w:tcW w:w="4206"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G. H.</w:t>
            </w:r>
          </w:p>
        </w:tc>
        <w:tc>
          <w:tcPr>
            <w:tcW w:w="4338"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 xml:space="preserve">18.401,62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lastRenderedPageBreak/>
              <w:t>4.</w:t>
            </w:r>
          </w:p>
        </w:tc>
        <w:tc>
          <w:tcPr>
            <w:tcW w:w="4206"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M. V.</w:t>
            </w:r>
          </w:p>
        </w:tc>
        <w:tc>
          <w:tcPr>
            <w:tcW w:w="4338"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 xml:space="preserve">16.274,87 </w:t>
            </w:r>
            <w:r>
              <w:rPr>
                <w:rFonts w:ascii="Calibri" w:eastAsia="Calibri" w:hAnsi="Calibri" w:cs="Calibri"/>
                <w:lang w:val="sr-Latn-ME"/>
              </w:rPr>
              <w:t>€</w:t>
            </w:r>
          </w:p>
        </w:tc>
      </w:tr>
      <w:tr w:rsidR="007715E0" w:rsidRPr="00DC4B3F" w:rsidTr="00767B74">
        <w:trPr>
          <w:trHeight w:val="311"/>
        </w:trPr>
        <w:tc>
          <w:tcPr>
            <w:tcW w:w="387" w:type="dxa"/>
            <w:shd w:val="clear" w:color="auto" w:fill="E7E6E6"/>
          </w:tcPr>
          <w:p w:rsidR="007715E0" w:rsidRPr="00E66277" w:rsidRDefault="007715E0" w:rsidP="00767B74">
            <w:pPr>
              <w:jc w:val="both"/>
              <w:rPr>
                <w:rFonts w:ascii="Calibri" w:eastAsia="Calibri" w:hAnsi="Calibri"/>
                <w:b/>
                <w:lang w:val="sr-Latn-ME"/>
              </w:rPr>
            </w:pPr>
            <w:r w:rsidRPr="00E66277">
              <w:rPr>
                <w:rFonts w:ascii="Calibri" w:eastAsia="Calibri" w:hAnsi="Calibri"/>
                <w:b/>
                <w:lang w:val="sr-Latn-ME"/>
              </w:rPr>
              <w:t>5.</w:t>
            </w:r>
          </w:p>
        </w:tc>
        <w:tc>
          <w:tcPr>
            <w:tcW w:w="4206"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B. M.</w:t>
            </w:r>
          </w:p>
        </w:tc>
        <w:tc>
          <w:tcPr>
            <w:tcW w:w="4338" w:type="dxa"/>
            <w:shd w:val="clear" w:color="auto" w:fill="auto"/>
          </w:tcPr>
          <w:p w:rsidR="007715E0" w:rsidRPr="00DC4B3F" w:rsidRDefault="007715E0" w:rsidP="00767B74">
            <w:pPr>
              <w:jc w:val="both"/>
              <w:rPr>
                <w:rFonts w:ascii="Calibri" w:eastAsia="Calibri" w:hAnsi="Calibri"/>
                <w:lang w:val="sr-Latn-ME"/>
              </w:rPr>
            </w:pPr>
            <w:r>
              <w:rPr>
                <w:rFonts w:ascii="Calibri" w:eastAsia="Calibri" w:hAnsi="Calibri"/>
                <w:lang w:val="sr-Latn-ME"/>
              </w:rPr>
              <w:t xml:space="preserve">12.671,87 </w:t>
            </w:r>
            <w:r>
              <w:rPr>
                <w:rFonts w:ascii="Calibri" w:eastAsia="Calibri" w:hAnsi="Calibri" w:cs="Calibri"/>
                <w:lang w:val="sr-Latn-ME"/>
              </w:rPr>
              <w:t>€</w:t>
            </w:r>
          </w:p>
        </w:tc>
      </w:tr>
    </w:tbl>
    <w:p w:rsidR="007715E0" w:rsidRPr="00512545" w:rsidRDefault="007715E0" w:rsidP="007715E0">
      <w:pPr>
        <w:jc w:val="both"/>
        <w:rPr>
          <w:rFonts w:eastAsia="Calibri"/>
          <w:lang w:val="sr-Latn-ME"/>
        </w:rPr>
      </w:pPr>
    </w:p>
    <w:p w:rsidR="007715E0" w:rsidRDefault="007715E0" w:rsidP="007715E0">
      <w:pPr>
        <w:rPr>
          <w:rFonts w:eastAsia="Calibri"/>
          <w:color w:val="FF0000"/>
          <w:lang w:val="sr-Latn-ME"/>
        </w:rPr>
      </w:pPr>
    </w:p>
    <w:p w:rsidR="007715E0" w:rsidRPr="00C903DD" w:rsidRDefault="007715E0" w:rsidP="007715E0">
      <w:pPr>
        <w:rPr>
          <w:b/>
        </w:rPr>
      </w:pPr>
      <w:proofErr w:type="gramStart"/>
      <w:r>
        <w:rPr>
          <w:b/>
        </w:rPr>
        <w:t>4..2</w:t>
      </w:r>
      <w:proofErr w:type="gramEnd"/>
      <w:r>
        <w:rPr>
          <w:b/>
        </w:rPr>
        <w:t>. Ispitivanje advokata</w:t>
      </w:r>
    </w:p>
    <w:p w:rsidR="007715E0" w:rsidRDefault="007715E0" w:rsidP="007715E0">
      <w:pPr>
        <w:jc w:val="center"/>
      </w:pPr>
    </w:p>
    <w:p w:rsidR="007715E0" w:rsidRDefault="007715E0" w:rsidP="007715E0">
      <w:pPr>
        <w:jc w:val="both"/>
      </w:pPr>
      <w:proofErr w:type="gramStart"/>
      <w:r w:rsidRPr="00C3094A">
        <w:t xml:space="preserve">U cilju </w:t>
      </w:r>
      <w:r>
        <w:t xml:space="preserve">cjelovitog sagledavanja funkcionisanja sistema službenih odbrana, prilikom istraživanja primijenjen je unaprijed pripremljeni </w:t>
      </w:r>
      <w:r w:rsidRPr="00C3094A">
        <w:t xml:space="preserve">upitnik u formi </w:t>
      </w:r>
      <w:r>
        <w:t>nekoliko pitanja, koji</w:t>
      </w:r>
      <w:r w:rsidRPr="00C3094A">
        <w:t xml:space="preserve"> su</w:t>
      </w:r>
      <w:r>
        <w:t xml:space="preserve"> proslijeđeni svim advokatima u Crnoj Gori.</w:t>
      </w:r>
      <w:proofErr w:type="gramEnd"/>
      <w:r>
        <w:t xml:space="preserve"> Ovom vrstom istraživanja obuhvatili smo reprezentativni uzorak </w:t>
      </w:r>
      <w:proofErr w:type="gramStart"/>
      <w:r>
        <w:t>od</w:t>
      </w:r>
      <w:proofErr w:type="gramEnd"/>
      <w:r>
        <w:t xml:space="preserve"> 60 ispitanika-advokata, koji je bio dovoljan za kvantitatvnu i kvalititativnu analizu. </w:t>
      </w:r>
      <w:r w:rsidRPr="00C3094A">
        <w:t xml:space="preserve">Pitanja sadržana u upitniku koncipirana su </w:t>
      </w:r>
      <w:proofErr w:type="gramStart"/>
      <w:r w:rsidRPr="00C3094A">
        <w:t>na</w:t>
      </w:r>
      <w:proofErr w:type="gramEnd"/>
      <w:r w:rsidRPr="00C3094A">
        <w:t xml:space="preserve"> način koji je omogućio da se </w:t>
      </w:r>
      <w:r>
        <w:t xml:space="preserve">sagledaju problemi u praksi sa stanovišta advokata, kao i da se čuje i mišljenje nosilaca advokatske profesije o temi koja se istražuje. Pitanja sadržana u upitniku </w:t>
      </w:r>
      <w:proofErr w:type="gramStart"/>
      <w:r>
        <w:t>sa</w:t>
      </w:r>
      <w:proofErr w:type="gramEnd"/>
      <w:r>
        <w:t xml:space="preserve"> rezultatima ispitivanja opisana su u nastavku teksta. </w:t>
      </w:r>
    </w:p>
    <w:p w:rsidR="007715E0" w:rsidRDefault="007715E0" w:rsidP="007715E0">
      <w:pPr>
        <w:jc w:val="center"/>
      </w:pPr>
    </w:p>
    <w:p w:rsidR="007715E0" w:rsidRPr="00206F77" w:rsidRDefault="007715E0" w:rsidP="002924DE">
      <w:pPr>
        <w:pStyle w:val="ListParagraph"/>
        <w:numPr>
          <w:ilvl w:val="0"/>
          <w:numId w:val="4"/>
        </w:numPr>
        <w:spacing w:after="160" w:line="259" w:lineRule="auto"/>
        <w:jc w:val="both"/>
        <w:rPr>
          <w:i/>
        </w:rPr>
      </w:pPr>
      <w:r w:rsidRPr="00206F77">
        <w:rPr>
          <w:i/>
        </w:rPr>
        <w:t>Da li ste bili postavljeni kao branilac po službenoj dužnosti u posljednje dvije godine i koliko puta:</w:t>
      </w:r>
    </w:p>
    <w:p w:rsidR="007715E0" w:rsidRPr="00206F77" w:rsidRDefault="007715E0" w:rsidP="007715E0">
      <w:pPr>
        <w:rPr>
          <w:i/>
        </w:rPr>
      </w:pPr>
    </w:p>
    <w:p w:rsidR="007715E0" w:rsidRDefault="007715E0" w:rsidP="007715E0">
      <w:pPr>
        <w:ind w:left="720"/>
      </w:pPr>
      <w:r>
        <w:rPr>
          <w:noProof/>
          <w:lang w:val="sr-Latn-ME" w:eastAsia="sr-Latn-ME"/>
        </w:rPr>
        <w:drawing>
          <wp:inline distT="0" distB="0" distL="0" distR="0">
            <wp:extent cx="5286375" cy="3028950"/>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15E0" w:rsidRDefault="007715E0" w:rsidP="007715E0">
      <w:pPr>
        <w:ind w:left="720"/>
        <w:jc w:val="both"/>
      </w:pPr>
      <w:r>
        <w:rPr>
          <w:noProof/>
          <w:lang w:val="sr-Latn-ME" w:eastAsia="sr-Latn-ME"/>
        </w:rPr>
        <w:lastRenderedPageBreak/>
        <w:drawing>
          <wp:inline distT="0" distB="0" distL="0" distR="0">
            <wp:extent cx="5543550" cy="3267075"/>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15E0" w:rsidRDefault="007715E0" w:rsidP="007715E0">
      <w:pPr>
        <w:pStyle w:val="NormalWeb"/>
        <w:spacing w:after="0" w:line="240" w:lineRule="auto"/>
        <w:jc w:val="both"/>
        <w:rPr>
          <w:bCs/>
          <w:lang w:val="sr-Latn-ME"/>
        </w:rPr>
      </w:pPr>
      <w:r>
        <w:rPr>
          <w:bCs/>
          <w:lang w:val="sr-Latn-ME"/>
        </w:rPr>
        <w:t>Rezultati ispitivanja nam govore da postoji određeni broj ispitanih advokata, njih ukupno 18(35 %) koji nijesu nijednom tokom perioda od poslednje dvije godine bili postavljeni kao branioci po službenoj dužnosti</w:t>
      </w:r>
      <w:r w:rsidRPr="00512545">
        <w:rPr>
          <w:rFonts w:eastAsia="Calibri"/>
          <w:vertAlign w:val="superscript"/>
          <w:lang w:val="sr-Latn-ME"/>
        </w:rPr>
        <w:footnoteReference w:id="24"/>
      </w:r>
      <w:r>
        <w:rPr>
          <w:rFonts w:eastAsia="Calibri"/>
          <w:lang w:val="sr-Latn-ME"/>
        </w:rPr>
        <w:t>.</w:t>
      </w:r>
      <w:r>
        <w:rPr>
          <w:bCs/>
          <w:lang w:val="sr-Latn-ME"/>
        </w:rPr>
        <w:t xml:space="preserve"> S druge strane, ukupno 42 advokata su postavljeni najmanje jednom u tom periodu. Ipak, uočavaju su značajne razlike u broju odbrana po službenoj dužnosti, koji vode zaključku da postoji neravnomjerna raspodjela među advokatima.  Kao što pokazuje gornja slika, neki su postavljani jednom, neki 2 ili 3 puta, dok postoji i određeni broj ispitanih advokata koji su postavljani više od deset puta tokom perioda od dvije godine.  </w:t>
      </w:r>
    </w:p>
    <w:p w:rsidR="007715E0" w:rsidRDefault="007715E0" w:rsidP="007715E0">
      <w:pPr>
        <w:pStyle w:val="NormalWeb"/>
        <w:spacing w:after="0" w:line="240" w:lineRule="auto"/>
        <w:ind w:left="142"/>
        <w:jc w:val="both"/>
        <w:rPr>
          <w:bCs/>
          <w:lang w:val="sr-Latn-ME"/>
        </w:rPr>
      </w:pPr>
    </w:p>
    <w:p w:rsidR="007715E0" w:rsidRPr="000555F7" w:rsidRDefault="007715E0" w:rsidP="002924DE">
      <w:pPr>
        <w:pStyle w:val="NormalWeb"/>
        <w:numPr>
          <w:ilvl w:val="0"/>
          <w:numId w:val="4"/>
        </w:numPr>
        <w:spacing w:before="100" w:beforeAutospacing="1" w:after="0" w:line="240" w:lineRule="auto"/>
        <w:jc w:val="both"/>
        <w:rPr>
          <w:b/>
          <w:bCs/>
          <w:lang w:val="sr-Latn-ME"/>
        </w:rPr>
      </w:pPr>
      <w:r w:rsidRPr="00486183">
        <w:rPr>
          <w:bCs/>
          <w:i/>
          <w:lang w:val="sr-Latn-ME"/>
        </w:rPr>
        <w:t>Da li ste nekad odbili da budete branilac po službenoj dužnosti? Ukoliko jeste, molim Vas da navedete razloge za odbijanje</w:t>
      </w:r>
      <w:r w:rsidRPr="000555F7">
        <w:rPr>
          <w:b/>
          <w:bCs/>
          <w:lang w:val="sr-Latn-ME"/>
        </w:rPr>
        <w:t>.</w:t>
      </w:r>
    </w:p>
    <w:p w:rsidR="007715E0" w:rsidRDefault="007715E0" w:rsidP="007715E0">
      <w:pPr>
        <w:pStyle w:val="NormalWeb"/>
        <w:spacing w:after="0" w:line="240" w:lineRule="auto"/>
        <w:ind w:left="720"/>
        <w:jc w:val="both"/>
        <w:rPr>
          <w:bCs/>
          <w:lang w:val="sr-Latn-ME"/>
        </w:rPr>
      </w:pPr>
      <w:r>
        <w:rPr>
          <w:noProof/>
          <w:lang w:val="sr-Latn-ME" w:eastAsia="sr-Latn-ME"/>
        </w:rPr>
        <w:lastRenderedPageBreak/>
        <w:drawing>
          <wp:inline distT="0" distB="0" distL="0" distR="0" wp14:anchorId="4066CA81" wp14:editId="42739A98">
            <wp:extent cx="5286375" cy="3028950"/>
            <wp:effectExtent l="0" t="0" r="0"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15E0" w:rsidRDefault="007715E0" w:rsidP="007715E0">
      <w:pPr>
        <w:pStyle w:val="NormalWeb"/>
        <w:spacing w:after="0" w:line="240" w:lineRule="auto"/>
        <w:jc w:val="both"/>
        <w:rPr>
          <w:lang w:val="sr-Latn-ME"/>
        </w:rPr>
      </w:pPr>
    </w:p>
    <w:p w:rsidR="007715E0" w:rsidRDefault="007715E0" w:rsidP="007715E0">
      <w:pPr>
        <w:pStyle w:val="NormalWeb"/>
        <w:spacing w:after="0" w:line="240" w:lineRule="auto"/>
        <w:ind w:firstLine="720"/>
        <w:jc w:val="both"/>
        <w:rPr>
          <w:lang w:val="sr-Latn-ME"/>
        </w:rPr>
      </w:pPr>
      <w:r>
        <w:rPr>
          <w:noProof/>
          <w:lang w:val="sr-Latn-ME" w:eastAsia="sr-Latn-ME"/>
        </w:rPr>
        <w:drawing>
          <wp:inline distT="0" distB="0" distL="0" distR="0">
            <wp:extent cx="5581650" cy="3352800"/>
            <wp:effectExtent l="0" t="0" r="0"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15E0" w:rsidRDefault="007715E0" w:rsidP="007715E0">
      <w:pPr>
        <w:pStyle w:val="NormalWeb"/>
        <w:spacing w:after="0" w:line="240" w:lineRule="auto"/>
        <w:jc w:val="both"/>
        <w:rPr>
          <w:lang w:val="sr-Latn-ME"/>
        </w:rPr>
      </w:pPr>
      <w:r>
        <w:rPr>
          <w:lang w:val="sr-Latn-ME"/>
        </w:rPr>
        <w:t xml:space="preserve">Analiza odgovora dobijenih na ovo pitanje nam govori da je mnogo veći broj onih advokata koji nijesu nikada odbili zastupanje po službenoj dužnosti, njih čak 70 %, a kada je riječ o razlozima onih koji su odbili zastupanje, uglavnom su bile u pitanju objektivne nemogućnosti da se pristupi odbrani ( fizička udaljenost ili prezauzetost u 67%) slučajeva), dok se kao razlog odbijanja navodi se i konflikt interesa u određenom broju slučajeva (22%). Kategorija „drugo“ (11%) se odnosi na odgovore koji ukazuju na sljedeće razloge: osjetljivosti teme usled koje je advokat procijenio da nije u stanju da se bavi tom tematikom (konkretno nasilje u porodici), zatim slučaj koji zahtjeva mirovanje advokature. </w:t>
      </w:r>
    </w:p>
    <w:p w:rsidR="007715E0" w:rsidRPr="0008439B" w:rsidRDefault="007715E0" w:rsidP="002924DE">
      <w:pPr>
        <w:pStyle w:val="NormalWeb"/>
        <w:numPr>
          <w:ilvl w:val="0"/>
          <w:numId w:val="4"/>
        </w:numPr>
        <w:spacing w:before="100" w:beforeAutospacing="1" w:after="202"/>
        <w:jc w:val="both"/>
        <w:rPr>
          <w:bCs/>
          <w:i/>
          <w:lang w:val="sr-Latn-ME"/>
        </w:rPr>
      </w:pPr>
      <w:r w:rsidRPr="0008439B">
        <w:rPr>
          <w:bCs/>
          <w:i/>
          <w:lang w:val="sr-Latn-ME"/>
        </w:rPr>
        <w:t xml:space="preserve">Smatrate li da treba propisati kriterijume za izbor branilaca po službenoj dužnosti u vidu uvođenja dodatnih kriterijuma, godina iskustva, rada na krivičnim predmetima ili sl.? </w:t>
      </w:r>
    </w:p>
    <w:p w:rsidR="007715E0" w:rsidRDefault="007715E0" w:rsidP="007715E0">
      <w:pPr>
        <w:pStyle w:val="NormalWeb"/>
        <w:spacing w:after="202"/>
        <w:ind w:left="720"/>
        <w:jc w:val="both"/>
        <w:rPr>
          <w:bCs/>
          <w:lang w:val="sr-Latn-ME"/>
        </w:rPr>
      </w:pPr>
      <w:r>
        <w:rPr>
          <w:noProof/>
          <w:lang w:val="sr-Latn-ME" w:eastAsia="sr-Latn-ME"/>
        </w:rPr>
        <w:lastRenderedPageBreak/>
        <w:drawing>
          <wp:inline distT="0" distB="0" distL="0" distR="0">
            <wp:extent cx="5295900" cy="2847975"/>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15E0" w:rsidRDefault="007715E0" w:rsidP="007715E0">
      <w:pPr>
        <w:pStyle w:val="NormalWeb"/>
        <w:spacing w:after="202"/>
        <w:ind w:left="720"/>
        <w:jc w:val="both"/>
        <w:rPr>
          <w:bCs/>
          <w:lang w:val="sr-Latn-ME"/>
        </w:rPr>
      </w:pPr>
      <w:r>
        <w:rPr>
          <w:bCs/>
          <w:lang w:val="sr-Latn-ME"/>
        </w:rPr>
        <w:tab/>
      </w:r>
      <w:r>
        <w:rPr>
          <w:noProof/>
          <w:lang w:val="sr-Latn-ME" w:eastAsia="sr-Latn-ME"/>
        </w:rPr>
        <w:drawing>
          <wp:inline distT="0" distB="0" distL="0" distR="0">
            <wp:extent cx="5781675" cy="1314450"/>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val="sr-Latn-ME" w:eastAsia="sr-Latn-ME"/>
        </w:rPr>
        <w:drawing>
          <wp:inline distT="0" distB="0" distL="0" distR="0">
            <wp:extent cx="5172075" cy="1171575"/>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15E0" w:rsidRDefault="007715E0" w:rsidP="007715E0">
      <w:pPr>
        <w:pStyle w:val="NormalWeb"/>
        <w:spacing w:after="202"/>
        <w:jc w:val="both"/>
        <w:rPr>
          <w:lang w:val="sr-Latn-ME"/>
        </w:rPr>
      </w:pPr>
    </w:p>
    <w:p w:rsidR="007715E0" w:rsidRDefault="007715E0" w:rsidP="007715E0">
      <w:pPr>
        <w:pStyle w:val="NormalWeb"/>
        <w:spacing w:after="202"/>
        <w:jc w:val="both"/>
        <w:rPr>
          <w:lang w:val="sr-Latn-ME"/>
        </w:rPr>
      </w:pPr>
      <w:r w:rsidRPr="00512545">
        <w:rPr>
          <w:rFonts w:eastAsia="Calibri"/>
          <w:lang w:val="sr-Latn-ME"/>
        </w:rPr>
        <w:t>Kada je riječ o mišljenju advokata o tome da li je potrebno uvesti dodatne kriterijume</w:t>
      </w:r>
      <w:r>
        <w:rPr>
          <w:rFonts w:eastAsia="Calibri"/>
          <w:lang w:val="sr-Latn-ME"/>
        </w:rPr>
        <w:t xml:space="preserve"> prilikom izbora branilaca po službenoj dužnosti</w:t>
      </w:r>
      <w:r w:rsidRPr="00512545">
        <w:rPr>
          <w:rFonts w:eastAsia="Calibri"/>
          <w:lang w:val="sr-Latn-ME"/>
        </w:rPr>
        <w:t xml:space="preserve">, većina </w:t>
      </w:r>
      <w:r>
        <w:rPr>
          <w:rFonts w:eastAsia="Calibri"/>
          <w:lang w:val="sr-Latn-ME"/>
        </w:rPr>
        <w:t>ispitanih advokata(njih ukupno35</w:t>
      </w:r>
      <w:r w:rsidRPr="00512545">
        <w:rPr>
          <w:rFonts w:eastAsia="Calibri"/>
          <w:lang w:val="sr-Latn-ME"/>
        </w:rPr>
        <w:t>) smatra da to nije potrebno, jer bi to</w:t>
      </w:r>
      <w:r>
        <w:rPr>
          <w:rFonts w:eastAsia="Calibri"/>
          <w:lang w:val="sr-Latn-ME"/>
        </w:rPr>
        <w:t>, po njihovom preovlađujućem mišljenju,</w:t>
      </w:r>
      <w:r w:rsidRPr="00512545">
        <w:rPr>
          <w:rFonts w:eastAsia="Calibri"/>
          <w:lang w:val="sr-Latn-ME"/>
        </w:rPr>
        <w:t xml:space="preserve"> dovelo do favorizovanja onih advokata koj</w:t>
      </w:r>
      <w:r>
        <w:rPr>
          <w:rFonts w:eastAsia="Calibri"/>
          <w:lang w:val="sr-Latn-ME"/>
        </w:rPr>
        <w:t>i imaju više godina iskustva, a postojeće zakonsko rješenje</w:t>
      </w:r>
      <w:r w:rsidRPr="00512545">
        <w:rPr>
          <w:rFonts w:eastAsia="Calibri"/>
          <w:lang w:val="sr-Latn-ME"/>
        </w:rPr>
        <w:t xml:space="preserve"> daje </w:t>
      </w:r>
      <w:r>
        <w:rPr>
          <w:rFonts w:eastAsia="Calibri"/>
          <w:lang w:val="sr-Latn-ME"/>
        </w:rPr>
        <w:t>podjednake šanse</w:t>
      </w:r>
      <w:r w:rsidRPr="00512545">
        <w:rPr>
          <w:rFonts w:eastAsia="Calibri"/>
          <w:lang w:val="sr-Latn-ME"/>
        </w:rPr>
        <w:t xml:space="preserve"> svim advokatima podjedna</w:t>
      </w:r>
      <w:r>
        <w:rPr>
          <w:rFonts w:eastAsia="Calibri"/>
          <w:lang w:val="sr-Latn-ME"/>
        </w:rPr>
        <w:t xml:space="preserve">ko. Naime, smatraju da svako ko je registrovan za bavljenje advokaturom je sposoban i da pruži djelotvornu odbranu.  S druge strane, njih ukupno 25 smatra </w:t>
      </w:r>
      <w:r>
        <w:rPr>
          <w:lang w:val="sr-Latn-ME"/>
        </w:rPr>
        <w:t xml:space="preserve">da je potrebno uvesti dodatne kriterijume. </w:t>
      </w:r>
    </w:p>
    <w:p w:rsidR="007715E0" w:rsidRPr="006253D6" w:rsidRDefault="007715E0" w:rsidP="007715E0">
      <w:pPr>
        <w:pStyle w:val="NormalWeb"/>
        <w:spacing w:after="202"/>
        <w:jc w:val="both"/>
        <w:rPr>
          <w:lang w:val="sr-Latn-ME"/>
        </w:rPr>
      </w:pPr>
      <w:r>
        <w:rPr>
          <w:lang w:val="sr-Latn-ME"/>
        </w:rPr>
        <w:t xml:space="preserve">Među tih 25 advokata (41.7%)  koji smatraju da je potrebno uvesti dodatne kriterijume za izbor branilaca po dužnosti, njih 10 (40%) navodi da su godine iskustva važan kriterijum koji treba uzeti u obzir. Od 35 advokata (58.3%) koji smatraju da ne treba uvoditi dodatne kriterijume, njih 11 (31.4%) ukazuje na to da bi dodatni kriterijumi vodili diskriminacije, </w:t>
      </w:r>
      <w:r>
        <w:rPr>
          <w:lang w:val="sr-Latn-ME"/>
        </w:rPr>
        <w:lastRenderedPageBreak/>
        <w:t xml:space="preserve">posebno mlađih kolega. </w:t>
      </w:r>
      <w:r w:rsidRPr="00512545">
        <w:rPr>
          <w:rFonts w:eastAsia="Calibri"/>
          <w:lang w:val="sr-Latn-ME"/>
        </w:rPr>
        <w:t>Nadalje, navode da svaki advokat koji se registruje ima dovoljno znanja koje mu je potrebno da pruži kvalitetnu odbranu</w:t>
      </w:r>
    </w:p>
    <w:p w:rsidR="007715E0" w:rsidRDefault="007715E0" w:rsidP="007715E0">
      <w:pPr>
        <w:pStyle w:val="NormalWeb"/>
        <w:spacing w:after="0" w:line="240" w:lineRule="auto"/>
        <w:jc w:val="both"/>
        <w:rPr>
          <w:bCs/>
        </w:rPr>
      </w:pPr>
    </w:p>
    <w:p w:rsidR="007715E0" w:rsidRPr="000555F7" w:rsidRDefault="007715E0" w:rsidP="002924DE">
      <w:pPr>
        <w:pStyle w:val="NormalWeb"/>
        <w:numPr>
          <w:ilvl w:val="0"/>
          <w:numId w:val="4"/>
        </w:numPr>
        <w:spacing w:before="100" w:beforeAutospacing="1" w:after="0" w:line="240" w:lineRule="auto"/>
        <w:jc w:val="both"/>
        <w:rPr>
          <w:b/>
          <w:bCs/>
        </w:rPr>
      </w:pPr>
      <w:r w:rsidRPr="000555F7">
        <w:rPr>
          <w:b/>
          <w:bCs/>
        </w:rPr>
        <w:t>Molimo Vas da navedete Vaše mi</w:t>
      </w:r>
      <w:r>
        <w:rPr>
          <w:b/>
          <w:bCs/>
        </w:rPr>
        <w:t>šljenje, sugestije i prijedloge</w:t>
      </w:r>
      <w:r w:rsidRPr="000555F7">
        <w:rPr>
          <w:b/>
          <w:bCs/>
        </w:rPr>
        <w:t>?</w:t>
      </w:r>
    </w:p>
    <w:p w:rsidR="007715E0" w:rsidRPr="006253D6" w:rsidRDefault="007715E0" w:rsidP="007715E0">
      <w:pPr>
        <w:pStyle w:val="NormalWeb"/>
        <w:spacing w:after="0" w:line="240" w:lineRule="auto"/>
        <w:ind w:left="720"/>
        <w:jc w:val="both"/>
      </w:pPr>
      <w:r>
        <w:rPr>
          <w:noProof/>
          <w:lang w:val="sr-Latn-ME" w:eastAsia="sr-Latn-ME"/>
        </w:rPr>
        <w:drawing>
          <wp:anchor distT="0" distB="0" distL="114300" distR="114300" simplePos="0" relativeHeight="251666432" behindDoc="0" locked="0" layoutInCell="1" allowOverlap="1">
            <wp:simplePos x="0" y="0"/>
            <wp:positionH relativeFrom="column">
              <wp:posOffset>-337185</wp:posOffset>
            </wp:positionH>
            <wp:positionV relativeFrom="paragraph">
              <wp:posOffset>353060</wp:posOffset>
            </wp:positionV>
            <wp:extent cx="6429375" cy="5924550"/>
            <wp:effectExtent l="0" t="635" r="0" b="0"/>
            <wp:wrapTight wrapText="bothSides">
              <wp:wrapPolygon edited="0">
                <wp:start x="96" y="174"/>
                <wp:lineTo x="96" y="21392"/>
                <wp:lineTo x="21472" y="21392"/>
                <wp:lineTo x="21472" y="174"/>
                <wp:lineTo x="96" y="174"/>
              </wp:wrapPolygon>
            </wp:wrapTight>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7715E0" w:rsidRDefault="007715E0" w:rsidP="007715E0">
      <w:pPr>
        <w:jc w:val="both"/>
      </w:pPr>
    </w:p>
    <w:p w:rsidR="007715E0" w:rsidRDefault="007715E0" w:rsidP="007715E0">
      <w:pPr>
        <w:jc w:val="both"/>
      </w:pPr>
    </w:p>
    <w:p w:rsidR="007715E0" w:rsidRDefault="007715E0" w:rsidP="007715E0">
      <w:pPr>
        <w:jc w:val="both"/>
      </w:pPr>
      <w:r w:rsidRPr="007F150A">
        <w:t>Kada se radi o mišljenju ispitivanih advokat</w:t>
      </w:r>
      <w:r>
        <w:t>a o ovoj problematici, najzastupljenije je mišljenje advokata</w:t>
      </w:r>
      <w:r w:rsidRPr="007F150A">
        <w:t>(</w:t>
      </w:r>
      <w:r>
        <w:t xml:space="preserve">njih </w:t>
      </w:r>
      <w:r w:rsidRPr="007F150A">
        <w:t xml:space="preserve">45 %) koji smatraju </w:t>
      </w:r>
      <w:r>
        <w:t>da se Zakon ne primjenjuje kako je propisano</w:t>
      </w:r>
      <w:r w:rsidRPr="007F150A">
        <w:t>,</w:t>
      </w:r>
      <w:r>
        <w:t xml:space="preserve"> jer se u praksi ne poštuje redosled sa spiska koji sačinjava Advokatska komora, </w:t>
      </w:r>
      <w:r w:rsidRPr="007F150A">
        <w:t xml:space="preserve">jer samo određeni "privilegovani" advokati stiču mogućnost da budu postavljeni za branioce po službenoj dužnosti, i na taj način dolazi do unapred postignutog dogovora izmedju sudije i postavljenog branioca koji, po njihovom misljenju </w:t>
      </w:r>
      <w:r>
        <w:lastRenderedPageBreak/>
        <w:t xml:space="preserve">može biti na štetu okrivljenog. S </w:t>
      </w:r>
      <w:proofErr w:type="gramStart"/>
      <w:r>
        <w:t>tim</w:t>
      </w:r>
      <w:proofErr w:type="gramEnd"/>
      <w:r>
        <w:t xml:space="preserve">, u vezi, preporučuju da se uspostavi kontrola pozivanja advokata i praćenja propisa koji bi </w:t>
      </w:r>
      <w:r w:rsidRPr="00A51C6B">
        <w:t>trebalo da regulišu ravnopravnost odabira branilaca po dužnosti</w:t>
      </w:r>
      <w:r w:rsidRPr="00A51C6B">
        <w:rPr>
          <w:rStyle w:val="FootnoteReference"/>
        </w:rPr>
        <w:footnoteReference w:id="25"/>
      </w:r>
      <w:r w:rsidRPr="00A51C6B">
        <w:t>.</w:t>
      </w:r>
    </w:p>
    <w:p w:rsidR="007715E0" w:rsidRDefault="007715E0" w:rsidP="007715E0">
      <w:pPr>
        <w:jc w:val="both"/>
      </w:pPr>
      <w:r>
        <w:t xml:space="preserve">Njih 13.3% advokata smatra da se praćenje poštovanja spiska Advokatske komore i procedura postavljanja branilaca po službenoj </w:t>
      </w:r>
      <w:proofErr w:type="gramStart"/>
      <w:r>
        <w:t>dužnosti  mogu</w:t>
      </w:r>
      <w:proofErr w:type="gramEnd"/>
      <w:r>
        <w:t xml:space="preserve"> kontrolisati ukoliko se informacije o tim procesima učine javnim i transparentnim</w:t>
      </w:r>
      <w:r>
        <w:rPr>
          <w:rStyle w:val="FootnoteReference"/>
        </w:rPr>
        <w:footnoteReference w:id="26"/>
      </w:r>
      <w:r>
        <w:t xml:space="preserve">. </w:t>
      </w:r>
    </w:p>
    <w:p w:rsidR="007715E0" w:rsidRDefault="007715E0" w:rsidP="007715E0">
      <w:pPr>
        <w:jc w:val="both"/>
      </w:pPr>
      <w:r>
        <w:t xml:space="preserve">Treća po redu najčešća sugestija advokata naglašava zamjerke koje advokati – njih 8 % upućuju </w:t>
      </w:r>
      <w:proofErr w:type="gramStart"/>
      <w:r>
        <w:t>na</w:t>
      </w:r>
      <w:proofErr w:type="gramEnd"/>
      <w:r>
        <w:t xml:space="preserve"> način kontaktiranja advokata. </w:t>
      </w:r>
      <w:proofErr w:type="gramStart"/>
      <w:r>
        <w:t>Naime, pozivi telefonom traju tek toliko da telefon zazvoni, nakon čega advokat uzvraća pozivom i saznaje da je slučaj već dodijeljen narednom braniocu</w:t>
      </w:r>
      <w:r>
        <w:rPr>
          <w:rStyle w:val="FootnoteReference"/>
        </w:rPr>
        <w:footnoteReference w:id="27"/>
      </w:r>
      <w:r>
        <w:t>.</w:t>
      </w:r>
      <w:proofErr w:type="gramEnd"/>
      <w:r>
        <w:t xml:space="preserve"> Dakle, preporučuje </w:t>
      </w:r>
      <w:proofErr w:type="gramStart"/>
      <w:r>
        <w:t>se  definisanje</w:t>
      </w:r>
      <w:proofErr w:type="gramEnd"/>
      <w:r>
        <w:t xml:space="preserve"> novih pravila obavještavanja i pozivanja advokata sa spiska</w:t>
      </w:r>
      <w:r>
        <w:rPr>
          <w:rStyle w:val="FootnoteReference"/>
        </w:rPr>
        <w:footnoteReference w:id="28"/>
      </w:r>
      <w:r>
        <w:t xml:space="preserve">. </w:t>
      </w:r>
    </w:p>
    <w:p w:rsidR="007715E0" w:rsidRDefault="007715E0" w:rsidP="007715E0">
      <w:pPr>
        <w:jc w:val="both"/>
      </w:pPr>
      <w:proofErr w:type="gramStart"/>
      <w:r>
        <w:t>Takođe, 5% advokata naglašava problem predugog trajanja procesa ažuriranja podataka, i ovdje navodimo primjer jedne advokatice za koju je bilo potrebno 4 godine da joj se ažurira broj telefona</w:t>
      </w:r>
      <w:r>
        <w:rPr>
          <w:rStyle w:val="FootnoteReference"/>
        </w:rPr>
        <w:footnoteReference w:id="29"/>
      </w:r>
      <w:r>
        <w:t>.</w:t>
      </w:r>
      <w:proofErr w:type="gramEnd"/>
      <w:r>
        <w:t xml:space="preserve"> Bilo je i mišljenja (6.7%) advokata koji su </w:t>
      </w:r>
      <w:proofErr w:type="gramStart"/>
      <w:r>
        <w:t>dali</w:t>
      </w:r>
      <w:proofErr w:type="gramEnd"/>
      <w:r>
        <w:t xml:space="preserve"> predlog da treba izmijeniti pravila o advokatskoj tarifi kada je riječ o službenim odbranama, te da one treba da iznose 100% AT</w:t>
      </w:r>
      <w:r>
        <w:rPr>
          <w:rStyle w:val="FootnoteReference"/>
        </w:rPr>
        <w:footnoteReference w:id="30"/>
      </w:r>
      <w:r>
        <w:t xml:space="preserve">. </w:t>
      </w:r>
    </w:p>
    <w:p w:rsidR="007715E0" w:rsidRDefault="007715E0" w:rsidP="007715E0">
      <w:pPr>
        <w:jc w:val="both"/>
      </w:pPr>
      <w:r>
        <w:t>Njih 5% smatra da je potrebno obezbijediti stalne edukacije</w:t>
      </w:r>
      <w:proofErr w:type="gramStart"/>
      <w:r>
        <w:t>,  kao</w:t>
      </w:r>
      <w:proofErr w:type="gramEnd"/>
      <w:r>
        <w:t xml:space="preserve"> i mogućnost da mlade kolege prate suđenja sa iskusnijima advokatima u cilju sticanja potrebnog iskustva. </w:t>
      </w:r>
    </w:p>
    <w:p w:rsidR="007715E0" w:rsidRDefault="007715E0" w:rsidP="007715E0">
      <w:pPr>
        <w:jc w:val="both"/>
      </w:pPr>
    </w:p>
    <w:p w:rsidR="007715E0" w:rsidRDefault="007715E0" w:rsidP="007715E0">
      <w:pPr>
        <w:jc w:val="both"/>
      </w:pPr>
      <w:r>
        <w:lastRenderedPageBreak/>
        <w:t xml:space="preserve">Određeni broj advokata  (3.3%) isticu problem specijalizacije odnosno, orjentisanost advokata za bavljenje određenom vrstom prava, te u tom smislu predlažu da se napravi poseban spisak advokata za bavljenje službenom odbranom, pa da se za krivične slučajeve dodjeljuju samo oni koji se bave krivičnim pravom i imaju iskustva u zastupanju klijenata u krivičnim postupcima,  kako bi se eliminisala mogućnost situaciju da se prema redoledu pozivanja pojavi advokat koji se isključivo bavi građanskim pravom, koji bi mogao i da iz tih razloga odbije zastupanje.  </w:t>
      </w:r>
    </w:p>
    <w:p w:rsidR="007715E0" w:rsidRDefault="007715E0" w:rsidP="007715E0">
      <w:pPr>
        <w:jc w:val="both"/>
      </w:pPr>
    </w:p>
    <w:p w:rsidR="007715E0" w:rsidRDefault="007715E0" w:rsidP="007715E0">
      <w:pPr>
        <w:jc w:val="both"/>
      </w:pPr>
      <w:r>
        <w:t xml:space="preserve">Kategorija „drugo „ se odnosi </w:t>
      </w:r>
      <w:proofErr w:type="gramStart"/>
      <w:r>
        <w:t>na</w:t>
      </w:r>
      <w:proofErr w:type="gramEnd"/>
      <w:r>
        <w:t xml:space="preserve"> sledeće sugestije advokata: </w:t>
      </w:r>
    </w:p>
    <w:p w:rsidR="007715E0" w:rsidRDefault="007715E0" w:rsidP="002924DE">
      <w:pPr>
        <w:pStyle w:val="ListParagraph"/>
        <w:numPr>
          <w:ilvl w:val="0"/>
          <w:numId w:val="3"/>
        </w:numPr>
        <w:spacing w:after="160" w:line="259" w:lineRule="auto"/>
        <w:jc w:val="both"/>
      </w:pPr>
      <w:r>
        <w:t>Ukinuti teritorijalno ograničenje, odnosno pozivanje advokata prema mjesnoj nadležnosti suda i opštine u kojoj su registrovani, i tako dati šansu svim advokatima za zastupanje pred svim osnovnim i višim sudovima u Crnoj Gori;</w:t>
      </w:r>
    </w:p>
    <w:p w:rsidR="007715E0" w:rsidRDefault="007715E0" w:rsidP="002924DE">
      <w:pPr>
        <w:pStyle w:val="ListParagraph"/>
        <w:numPr>
          <w:ilvl w:val="0"/>
          <w:numId w:val="3"/>
        </w:numPr>
        <w:spacing w:after="160" w:line="259" w:lineRule="auto"/>
        <w:jc w:val="both"/>
      </w:pPr>
      <w:r>
        <w:t>Izjednačavanje prava branilaca i državnih tuzilaca u krivičnom postupku, jer po mišljenju nekih advokata, prava državnih tužilaca su mnogo veća i to dovodi do neravnomjernog položaja stanaka u postupku;</w:t>
      </w:r>
    </w:p>
    <w:p w:rsidR="007715E0" w:rsidRDefault="007715E0" w:rsidP="002924DE">
      <w:pPr>
        <w:pStyle w:val="ListParagraph"/>
        <w:numPr>
          <w:ilvl w:val="0"/>
          <w:numId w:val="3"/>
        </w:numPr>
        <w:spacing w:after="160" w:line="259" w:lineRule="auto"/>
        <w:jc w:val="both"/>
      </w:pPr>
      <w:r>
        <w:t>Kažnjavanje onih advokata koji se reklamiraju što je zakonom zabranjeno;</w:t>
      </w:r>
    </w:p>
    <w:p w:rsidR="007715E0" w:rsidRDefault="007715E0" w:rsidP="002924DE">
      <w:pPr>
        <w:pStyle w:val="ListParagraph"/>
        <w:numPr>
          <w:ilvl w:val="0"/>
          <w:numId w:val="3"/>
        </w:numPr>
        <w:spacing w:after="160" w:line="259" w:lineRule="auto"/>
        <w:jc w:val="both"/>
      </w:pPr>
      <w:r>
        <w:t>Nadgledanje rada advokata kao garancija za postizanje djelotvorne odbrane</w:t>
      </w:r>
      <w:r>
        <w:rPr>
          <w:rStyle w:val="FootnoteReference"/>
        </w:rPr>
        <w:footnoteReference w:id="31"/>
      </w:r>
      <w:r>
        <w:t xml:space="preserve"> i  </w:t>
      </w:r>
    </w:p>
    <w:p w:rsidR="007715E0" w:rsidRDefault="007715E0" w:rsidP="002924DE">
      <w:pPr>
        <w:pStyle w:val="ListParagraph"/>
        <w:numPr>
          <w:ilvl w:val="0"/>
          <w:numId w:val="3"/>
        </w:numPr>
        <w:spacing w:after="160" w:line="259" w:lineRule="auto"/>
        <w:jc w:val="both"/>
      </w:pPr>
      <w:r>
        <w:t xml:space="preserve">Godine iskustva bavljenja advokaturom kao kriterijum koji je potreban radi zastupanja pred višim sudovim. </w:t>
      </w:r>
      <w:r>
        <w:rPr>
          <w:rStyle w:val="FootnoteReference"/>
        </w:rPr>
        <w:footnoteReference w:id="32"/>
      </w:r>
    </w:p>
    <w:p w:rsidR="007715E0" w:rsidRPr="006B6F7F" w:rsidRDefault="007715E0" w:rsidP="007715E0">
      <w:pPr>
        <w:jc w:val="both"/>
      </w:pPr>
    </w:p>
    <w:p w:rsidR="007715E0" w:rsidRPr="00512545" w:rsidRDefault="007715E0" w:rsidP="007715E0">
      <w:pPr>
        <w:jc w:val="both"/>
        <w:rPr>
          <w:rFonts w:eastAsia="Calibri"/>
          <w:b/>
          <w:lang w:val="sr-Latn-ME"/>
        </w:rPr>
      </w:pPr>
      <w:r>
        <w:rPr>
          <w:rFonts w:eastAsia="Calibri"/>
          <w:b/>
          <w:lang w:val="sr-Latn-ME"/>
        </w:rPr>
        <w:t>4.3</w:t>
      </w:r>
      <w:r w:rsidRPr="00512545">
        <w:rPr>
          <w:rFonts w:eastAsia="Calibri"/>
          <w:b/>
          <w:lang w:val="sr-Latn-ME"/>
        </w:rPr>
        <w:t>. Djelotvornost odbrane po službenoj dužnosti</w:t>
      </w:r>
    </w:p>
    <w:p w:rsidR="007715E0" w:rsidRPr="00512545" w:rsidRDefault="007715E0" w:rsidP="007715E0">
      <w:pPr>
        <w:jc w:val="both"/>
        <w:rPr>
          <w:rFonts w:eastAsia="Calibri"/>
          <w:lang w:val="sr-Latn-ME"/>
        </w:rPr>
      </w:pPr>
      <w:r w:rsidRPr="00512545">
        <w:rPr>
          <w:rFonts w:eastAsia="Calibri"/>
          <w:lang w:val="sr-Latn-ME"/>
        </w:rPr>
        <w:t>Drugi značajan problem u odnosu na primjenu prava na službenu odbranu predstavlja kvalitet odbrane koju pružaju branici određeni po službenoj dužnosti. Iako bi odbrana u svakom slučaju trebala da bude pružena stručno, savjesno i profesinalno, kako to nalažu najviši standardi profesionalnog obavljanja advokatske dužnosti, praksa pokazuje drugačiju situaciju. Jedna pritužba podnijeta 2014.</w:t>
      </w:r>
      <w:r>
        <w:rPr>
          <w:rFonts w:eastAsia="Calibri"/>
          <w:lang w:val="sr-Latn-ME"/>
        </w:rPr>
        <w:t xml:space="preserve"> </w:t>
      </w:r>
      <w:r w:rsidRPr="00512545">
        <w:rPr>
          <w:rFonts w:eastAsia="Calibri"/>
          <w:lang w:val="sr-Latn-ME"/>
        </w:rPr>
        <w:t>godine protiv jednog podgoričkog advokata predstavlja najočigledniji primjer kršenja prava na odbranu. Naime, u predmetu u kojem je bio angažovan ovaj branilac, došlo je do kršenja prava na odbranu jer isti nije predložio izvođenje nijednog dokaza, niti doveo u pitanje neki dokaz protiv svog klijenta, a u završnoj riječi je naveo samo sljedeću frazu“ da je okrivljenoj suđeno u odsustvu , uz specifičnost djela stavljenoj  joj na teret, te da ostavlja sudu na ocj</w:t>
      </w:r>
      <w:r>
        <w:rPr>
          <w:rFonts w:eastAsia="Calibri"/>
          <w:lang w:val="sr-Latn-ME"/>
        </w:rPr>
        <w:t xml:space="preserve">enu donošenje zakonite odluke“. </w:t>
      </w:r>
      <w:r w:rsidRPr="00512545">
        <w:rPr>
          <w:rFonts w:eastAsia="Calibri"/>
          <w:lang w:val="sr-Latn-ME"/>
        </w:rPr>
        <w:t>O potpuno pasivnoj ulozi ovog advokata svjedoči i činjenica da nije čak podnio ni žalbu na osuđujuću presudu.</w:t>
      </w:r>
      <w:r w:rsidRPr="00512545">
        <w:rPr>
          <w:rFonts w:eastAsia="Calibri"/>
          <w:vertAlign w:val="superscript"/>
          <w:lang w:val="sr-Latn-ME"/>
        </w:rPr>
        <w:footnoteReference w:id="33"/>
      </w:r>
    </w:p>
    <w:p w:rsidR="007715E0" w:rsidRPr="00512545" w:rsidRDefault="007715E0" w:rsidP="007715E0">
      <w:pPr>
        <w:jc w:val="both"/>
        <w:rPr>
          <w:rFonts w:eastAsia="Calibri"/>
          <w:bCs/>
          <w:lang w:val="sr-Latn-ME"/>
        </w:rPr>
      </w:pPr>
      <w:r w:rsidRPr="00512545">
        <w:rPr>
          <w:rFonts w:eastAsia="Calibri"/>
          <w:lang w:val="sr-Latn-ME"/>
        </w:rPr>
        <w:t>Takva zapažanja iznijeta su i u Izvještaju Misije OEBS-a u Crnoj Gori pod nazivom</w:t>
      </w:r>
      <w:r>
        <w:rPr>
          <w:rFonts w:eastAsia="Calibri"/>
          <w:lang w:val="sr-Latn-ME"/>
        </w:rPr>
        <w:t xml:space="preserve"> </w:t>
      </w:r>
      <w:r w:rsidRPr="00512545">
        <w:rPr>
          <w:rFonts w:eastAsia="Calibri"/>
          <w:lang w:val="sr-Latn-ME"/>
        </w:rPr>
        <w:t xml:space="preserve">„Praćenje suđenja“, gdje se kao jedan od zaključaka u dijelu koji se odnosi na poštovanje procesnih garancija prava na odbranu iznosi da </w:t>
      </w:r>
      <w:r w:rsidRPr="00512545">
        <w:rPr>
          <w:rFonts w:eastAsia="Calibri"/>
          <w:bCs/>
        </w:rPr>
        <w:t>pona</w:t>
      </w:r>
      <w:r w:rsidRPr="00512545">
        <w:rPr>
          <w:rFonts w:eastAsia="Calibri"/>
          <w:bCs/>
          <w:lang w:val="sr-Latn-ME"/>
        </w:rPr>
        <w:t>š</w:t>
      </w:r>
      <w:r w:rsidRPr="00512545">
        <w:rPr>
          <w:rFonts w:eastAsia="Calibri"/>
          <w:bCs/>
        </w:rPr>
        <w:t>anje</w:t>
      </w:r>
      <w:r w:rsidRPr="00512545">
        <w:rPr>
          <w:rFonts w:eastAsia="Calibri"/>
          <w:bCs/>
          <w:lang w:val="sr-Latn-ME"/>
        </w:rPr>
        <w:t xml:space="preserve"> </w:t>
      </w:r>
      <w:r w:rsidRPr="00512545">
        <w:rPr>
          <w:rFonts w:eastAsia="Calibri"/>
          <w:bCs/>
        </w:rPr>
        <w:t>branioca</w:t>
      </w:r>
      <w:r w:rsidRPr="00512545">
        <w:rPr>
          <w:rFonts w:eastAsia="Calibri"/>
          <w:bCs/>
          <w:lang w:val="sr-Latn-ME"/>
        </w:rPr>
        <w:t xml:space="preserve"> </w:t>
      </w:r>
      <w:r w:rsidRPr="00512545">
        <w:rPr>
          <w:rFonts w:eastAsia="Calibri"/>
          <w:bCs/>
        </w:rPr>
        <w:t>u</w:t>
      </w:r>
      <w:r w:rsidRPr="00512545">
        <w:rPr>
          <w:rFonts w:eastAsia="Calibri"/>
          <w:bCs/>
          <w:lang w:val="sr-Latn-ME"/>
        </w:rPr>
        <w:t xml:space="preserve"> </w:t>
      </w:r>
      <w:r w:rsidRPr="00512545">
        <w:rPr>
          <w:rFonts w:eastAsia="Calibri"/>
          <w:bCs/>
        </w:rPr>
        <w:t>vi</w:t>
      </w:r>
      <w:r w:rsidRPr="00512545">
        <w:rPr>
          <w:rFonts w:eastAsia="Calibri"/>
          <w:bCs/>
          <w:lang w:val="sr-Latn-ME"/>
        </w:rPr>
        <w:t>š</w:t>
      </w:r>
      <w:r w:rsidRPr="00512545">
        <w:rPr>
          <w:rFonts w:eastAsia="Calibri"/>
          <w:bCs/>
        </w:rPr>
        <w:t>e</w:t>
      </w:r>
      <w:r w:rsidRPr="00512545">
        <w:rPr>
          <w:rFonts w:eastAsia="Calibri"/>
          <w:bCs/>
          <w:lang w:val="sr-Latn-ME"/>
        </w:rPr>
        <w:t xml:space="preserve"> </w:t>
      </w:r>
      <w:r w:rsidRPr="00512545">
        <w:rPr>
          <w:rFonts w:eastAsia="Calibri"/>
          <w:bCs/>
        </w:rPr>
        <w:t>pra</w:t>
      </w:r>
      <w:r w:rsidRPr="00512545">
        <w:rPr>
          <w:rFonts w:eastAsia="Calibri"/>
          <w:bCs/>
          <w:lang w:val="sr-Latn-ME"/>
        </w:rPr>
        <w:t>ć</w:t>
      </w:r>
      <w:r w:rsidRPr="00512545">
        <w:rPr>
          <w:rFonts w:eastAsia="Calibri"/>
          <w:bCs/>
        </w:rPr>
        <w:t>enih</w:t>
      </w:r>
      <w:r w:rsidRPr="00512545">
        <w:rPr>
          <w:rFonts w:eastAsia="Calibri"/>
          <w:bCs/>
          <w:lang w:val="sr-Latn-ME"/>
        </w:rPr>
        <w:t xml:space="preserve"> </w:t>
      </w:r>
      <w:r w:rsidRPr="00512545">
        <w:rPr>
          <w:rFonts w:eastAsia="Calibri"/>
          <w:bCs/>
        </w:rPr>
        <w:t>postupaka</w:t>
      </w:r>
      <w:r w:rsidRPr="00512545">
        <w:rPr>
          <w:rFonts w:eastAsia="Calibri"/>
          <w:bCs/>
          <w:lang w:val="sr-Latn-ME"/>
        </w:rPr>
        <w:t xml:space="preserve">, </w:t>
      </w:r>
      <w:r w:rsidRPr="00512545">
        <w:rPr>
          <w:rFonts w:eastAsia="Calibri"/>
          <w:bCs/>
        </w:rPr>
        <w:t>nije</w:t>
      </w:r>
      <w:r w:rsidRPr="00512545">
        <w:rPr>
          <w:rFonts w:eastAsia="Calibri"/>
          <w:bCs/>
          <w:lang w:val="sr-Latn-ME"/>
        </w:rPr>
        <w:t xml:space="preserve"> </w:t>
      </w:r>
      <w:r w:rsidRPr="00512545">
        <w:rPr>
          <w:rFonts w:eastAsia="Calibri"/>
          <w:bCs/>
        </w:rPr>
        <w:t>u</w:t>
      </w:r>
      <w:r w:rsidRPr="00512545">
        <w:rPr>
          <w:rFonts w:eastAsia="Calibri"/>
          <w:bCs/>
          <w:lang w:val="sr-Latn-ME"/>
        </w:rPr>
        <w:t xml:space="preserve"> </w:t>
      </w:r>
      <w:r w:rsidRPr="00512545">
        <w:rPr>
          <w:rFonts w:eastAsia="Calibri"/>
          <w:bCs/>
        </w:rPr>
        <w:t>skladu</w:t>
      </w:r>
      <w:r w:rsidRPr="00512545">
        <w:rPr>
          <w:rFonts w:eastAsia="Calibri"/>
          <w:bCs/>
          <w:lang w:val="sr-Latn-ME"/>
        </w:rPr>
        <w:t xml:space="preserve"> </w:t>
      </w:r>
      <w:r w:rsidRPr="00512545">
        <w:rPr>
          <w:rFonts w:eastAsia="Calibri"/>
          <w:bCs/>
        </w:rPr>
        <w:t>sa</w:t>
      </w:r>
      <w:r w:rsidRPr="00512545">
        <w:rPr>
          <w:rFonts w:eastAsia="Calibri"/>
          <w:bCs/>
          <w:lang w:val="sr-Latn-ME"/>
        </w:rPr>
        <w:t xml:space="preserve"> </w:t>
      </w:r>
      <w:r w:rsidRPr="00512545">
        <w:rPr>
          <w:rFonts w:eastAsia="Calibri"/>
          <w:bCs/>
        </w:rPr>
        <w:t>standardima</w:t>
      </w:r>
      <w:r w:rsidRPr="00512545">
        <w:rPr>
          <w:rFonts w:eastAsia="Calibri"/>
          <w:bCs/>
          <w:lang w:val="sr-Latn-ME"/>
        </w:rPr>
        <w:t xml:space="preserve"> </w:t>
      </w:r>
      <w:r w:rsidRPr="00512545">
        <w:rPr>
          <w:rFonts w:eastAsia="Calibri"/>
          <w:bCs/>
        </w:rPr>
        <w:lastRenderedPageBreak/>
        <w:t>advokatske</w:t>
      </w:r>
      <w:r w:rsidRPr="00512545">
        <w:rPr>
          <w:rFonts w:eastAsia="Calibri"/>
          <w:bCs/>
          <w:lang w:val="sr-Latn-ME"/>
        </w:rPr>
        <w:t xml:space="preserve"> </w:t>
      </w:r>
      <w:r w:rsidRPr="00512545">
        <w:rPr>
          <w:rFonts w:eastAsia="Calibri"/>
          <w:bCs/>
        </w:rPr>
        <w:t>struke</w:t>
      </w:r>
      <w:r w:rsidRPr="00512545">
        <w:rPr>
          <w:rFonts w:eastAsia="Calibri"/>
          <w:bCs/>
          <w:lang w:val="sr-Latn-ME"/>
        </w:rPr>
        <w:t xml:space="preserve"> </w:t>
      </w:r>
      <w:r w:rsidRPr="00512545">
        <w:rPr>
          <w:rFonts w:eastAsia="Calibri"/>
          <w:bCs/>
        </w:rPr>
        <w:t>i</w:t>
      </w:r>
      <w:r w:rsidRPr="00512545">
        <w:rPr>
          <w:rFonts w:eastAsia="Calibri"/>
          <w:bCs/>
          <w:lang w:val="sr-Latn-ME"/>
        </w:rPr>
        <w:t xml:space="preserve"> </w:t>
      </w:r>
      <w:r w:rsidRPr="00512545">
        <w:rPr>
          <w:rFonts w:eastAsia="Calibri"/>
          <w:bCs/>
        </w:rPr>
        <w:t>predstavlja</w:t>
      </w:r>
      <w:r w:rsidRPr="00512545">
        <w:rPr>
          <w:rFonts w:eastAsia="Calibri"/>
          <w:bCs/>
          <w:lang w:val="sr-Latn-ME"/>
        </w:rPr>
        <w:t xml:space="preserve"> </w:t>
      </w:r>
      <w:r w:rsidRPr="00512545">
        <w:rPr>
          <w:rFonts w:eastAsia="Calibri"/>
          <w:bCs/>
        </w:rPr>
        <w:t>primjer</w:t>
      </w:r>
      <w:r w:rsidRPr="00512545">
        <w:rPr>
          <w:rFonts w:eastAsia="Calibri"/>
          <w:bCs/>
          <w:lang w:val="sr-Latn-ME"/>
        </w:rPr>
        <w:t xml:space="preserve"> </w:t>
      </w:r>
      <w:r w:rsidRPr="00512545">
        <w:rPr>
          <w:rFonts w:eastAsia="Calibri"/>
          <w:bCs/>
        </w:rPr>
        <w:t>neprofesionalizma</w:t>
      </w:r>
      <w:r w:rsidRPr="00512545">
        <w:rPr>
          <w:rFonts w:eastAsia="Calibri"/>
          <w:bCs/>
          <w:lang w:val="sr-Latn-ME"/>
        </w:rPr>
        <w:t xml:space="preserve"> </w:t>
      </w:r>
      <w:r w:rsidRPr="00512545">
        <w:rPr>
          <w:rFonts w:eastAsia="Calibri"/>
          <w:bCs/>
        </w:rPr>
        <w:t>i</w:t>
      </w:r>
      <w:r w:rsidRPr="00512545">
        <w:rPr>
          <w:rFonts w:eastAsia="Calibri"/>
          <w:bCs/>
          <w:lang w:val="sr-Latn-ME"/>
        </w:rPr>
        <w:t xml:space="preserve"> </w:t>
      </w:r>
      <w:r w:rsidRPr="00512545">
        <w:rPr>
          <w:rFonts w:eastAsia="Calibri"/>
          <w:bCs/>
        </w:rPr>
        <w:t>ugro</w:t>
      </w:r>
      <w:r w:rsidRPr="00512545">
        <w:rPr>
          <w:rFonts w:eastAsia="Calibri"/>
          <w:bCs/>
          <w:lang w:val="sr-Latn-ME"/>
        </w:rPr>
        <w:t>ž</w:t>
      </w:r>
      <w:r w:rsidRPr="00512545">
        <w:rPr>
          <w:rFonts w:eastAsia="Calibri"/>
          <w:bCs/>
        </w:rPr>
        <w:t>avanja</w:t>
      </w:r>
      <w:r w:rsidRPr="00512545">
        <w:rPr>
          <w:rFonts w:eastAsia="Calibri"/>
          <w:bCs/>
          <w:lang w:val="sr-Latn-ME"/>
        </w:rPr>
        <w:t xml:space="preserve"> </w:t>
      </w:r>
      <w:r w:rsidRPr="00512545">
        <w:rPr>
          <w:rFonts w:eastAsia="Calibri"/>
          <w:bCs/>
        </w:rPr>
        <w:t>prava</w:t>
      </w:r>
      <w:r w:rsidRPr="00512545">
        <w:rPr>
          <w:rFonts w:eastAsia="Calibri"/>
          <w:bCs/>
          <w:lang w:val="sr-Latn-ME"/>
        </w:rPr>
        <w:t xml:space="preserve"> </w:t>
      </w:r>
      <w:r w:rsidRPr="00512545">
        <w:rPr>
          <w:rFonts w:eastAsia="Calibri"/>
          <w:bCs/>
        </w:rPr>
        <w:t>na</w:t>
      </w:r>
      <w:r w:rsidRPr="00512545">
        <w:rPr>
          <w:rFonts w:eastAsia="Calibri"/>
          <w:bCs/>
          <w:lang w:val="sr-Latn-ME"/>
        </w:rPr>
        <w:t xml:space="preserve"> </w:t>
      </w:r>
      <w:r w:rsidRPr="00512545">
        <w:rPr>
          <w:rFonts w:eastAsia="Calibri"/>
          <w:bCs/>
        </w:rPr>
        <w:t>odbranu</w:t>
      </w:r>
      <w:r w:rsidRPr="00512545">
        <w:rPr>
          <w:rFonts w:eastAsia="Calibri"/>
          <w:bCs/>
          <w:vertAlign w:val="superscript"/>
        </w:rPr>
        <w:footnoteReference w:id="34"/>
      </w:r>
      <w:r w:rsidRPr="00512545">
        <w:rPr>
          <w:rFonts w:eastAsia="Calibri"/>
          <w:bCs/>
          <w:lang w:val="sr-Latn-ME"/>
        </w:rPr>
        <w:t xml:space="preserve">. </w:t>
      </w:r>
      <w:proofErr w:type="gramStart"/>
      <w:r w:rsidRPr="00512545">
        <w:rPr>
          <w:rFonts w:eastAsia="Calibri"/>
          <w:bCs/>
        </w:rPr>
        <w:t>Dakle</w:t>
      </w:r>
      <w:r w:rsidRPr="00512545">
        <w:rPr>
          <w:rFonts w:eastAsia="Calibri"/>
          <w:bCs/>
          <w:lang w:val="sr-Latn-ME"/>
        </w:rPr>
        <w:t xml:space="preserve">, </w:t>
      </w:r>
      <w:r w:rsidRPr="00512545">
        <w:rPr>
          <w:rFonts w:eastAsia="Calibri"/>
          <w:bCs/>
        </w:rPr>
        <w:t>u</w:t>
      </w:r>
      <w:r w:rsidRPr="00512545">
        <w:rPr>
          <w:rFonts w:eastAsia="Calibri"/>
          <w:bCs/>
          <w:lang w:val="sr-Latn-ME"/>
        </w:rPr>
        <w:t xml:space="preserve"> </w:t>
      </w:r>
      <w:r w:rsidRPr="00512545">
        <w:rPr>
          <w:rFonts w:eastAsia="Calibri"/>
          <w:bCs/>
        </w:rPr>
        <w:t>nekoliko</w:t>
      </w:r>
      <w:r w:rsidRPr="00512545">
        <w:rPr>
          <w:rFonts w:eastAsia="Calibri"/>
          <w:bCs/>
          <w:lang w:val="sr-Latn-ME"/>
        </w:rPr>
        <w:t xml:space="preserve"> </w:t>
      </w:r>
      <w:r w:rsidRPr="00512545">
        <w:rPr>
          <w:rFonts w:eastAsia="Calibri"/>
          <w:bCs/>
        </w:rPr>
        <w:t>posmatranih</w:t>
      </w:r>
      <w:r w:rsidRPr="00512545">
        <w:rPr>
          <w:rFonts w:eastAsia="Calibri"/>
          <w:bCs/>
          <w:lang w:val="sr-Latn-ME"/>
        </w:rPr>
        <w:t xml:space="preserve"> </w:t>
      </w:r>
      <w:r w:rsidRPr="00512545">
        <w:rPr>
          <w:rFonts w:eastAsia="Calibri"/>
          <w:bCs/>
        </w:rPr>
        <w:t>krivi</w:t>
      </w:r>
      <w:r w:rsidRPr="00512545">
        <w:rPr>
          <w:rFonts w:eastAsia="Calibri"/>
          <w:bCs/>
          <w:lang w:val="sr-Latn-ME"/>
        </w:rPr>
        <w:t>č</w:t>
      </w:r>
      <w:r w:rsidRPr="00512545">
        <w:rPr>
          <w:rFonts w:eastAsia="Calibri"/>
          <w:bCs/>
        </w:rPr>
        <w:t>nih</w:t>
      </w:r>
      <w:r w:rsidRPr="00512545">
        <w:rPr>
          <w:rFonts w:eastAsia="Calibri"/>
          <w:bCs/>
          <w:lang w:val="sr-Latn-ME"/>
        </w:rPr>
        <w:t xml:space="preserve"> </w:t>
      </w:r>
      <w:r w:rsidRPr="00512545">
        <w:rPr>
          <w:rFonts w:eastAsia="Calibri"/>
          <w:bCs/>
        </w:rPr>
        <w:t>postupaka</w:t>
      </w:r>
      <w:r w:rsidRPr="00512545">
        <w:rPr>
          <w:rFonts w:eastAsia="Calibri"/>
          <w:bCs/>
          <w:lang w:val="sr-Latn-ME"/>
        </w:rPr>
        <w:t xml:space="preserve"> </w:t>
      </w:r>
      <w:r w:rsidRPr="00512545">
        <w:rPr>
          <w:rFonts w:eastAsia="Calibri"/>
          <w:bCs/>
        </w:rPr>
        <w:t>uo</w:t>
      </w:r>
      <w:r w:rsidRPr="00512545">
        <w:rPr>
          <w:rFonts w:eastAsia="Calibri"/>
          <w:bCs/>
          <w:lang w:val="sr-Latn-ME"/>
        </w:rPr>
        <w:t>č</w:t>
      </w:r>
      <w:r w:rsidRPr="00512545">
        <w:rPr>
          <w:rFonts w:eastAsia="Calibri"/>
          <w:bCs/>
        </w:rPr>
        <w:t>ena</w:t>
      </w:r>
      <w:r w:rsidRPr="00512545">
        <w:rPr>
          <w:rFonts w:eastAsia="Calibri"/>
          <w:bCs/>
          <w:lang w:val="sr-Latn-ME"/>
        </w:rPr>
        <w:t xml:space="preserve"> </w:t>
      </w:r>
      <w:r w:rsidRPr="00512545">
        <w:rPr>
          <w:rFonts w:eastAsia="Calibri"/>
          <w:bCs/>
        </w:rPr>
        <w:t>je</w:t>
      </w:r>
      <w:r w:rsidRPr="00512545">
        <w:rPr>
          <w:rFonts w:eastAsia="Calibri"/>
          <w:bCs/>
          <w:lang w:val="sr-Latn-ME"/>
        </w:rPr>
        <w:t xml:space="preserve"> </w:t>
      </w:r>
      <w:r w:rsidRPr="00512545">
        <w:rPr>
          <w:rFonts w:eastAsia="Calibri"/>
          <w:bCs/>
        </w:rPr>
        <w:t>totalna</w:t>
      </w:r>
      <w:r w:rsidRPr="00512545">
        <w:rPr>
          <w:rFonts w:eastAsia="Calibri"/>
          <w:bCs/>
          <w:lang w:val="sr-Latn-ME"/>
        </w:rPr>
        <w:t xml:space="preserve"> </w:t>
      </w:r>
      <w:r w:rsidRPr="00512545">
        <w:rPr>
          <w:rFonts w:eastAsia="Calibri"/>
          <w:bCs/>
        </w:rPr>
        <w:t>pasivnost</w:t>
      </w:r>
      <w:r w:rsidRPr="00512545">
        <w:rPr>
          <w:rFonts w:eastAsia="Calibri"/>
          <w:bCs/>
          <w:lang w:val="sr-Latn-ME"/>
        </w:rPr>
        <w:t xml:space="preserve"> </w:t>
      </w:r>
      <w:r w:rsidRPr="00512545">
        <w:rPr>
          <w:rFonts w:eastAsia="Calibri"/>
          <w:bCs/>
        </w:rPr>
        <w:t>branilaca</w:t>
      </w:r>
      <w:r w:rsidRPr="00512545">
        <w:rPr>
          <w:rFonts w:eastAsia="Calibri"/>
          <w:bCs/>
          <w:lang w:val="sr-Latn-ME"/>
        </w:rPr>
        <w:t xml:space="preserve"> </w:t>
      </w:r>
      <w:r w:rsidRPr="00512545">
        <w:rPr>
          <w:rFonts w:eastAsia="Calibri"/>
          <w:bCs/>
        </w:rPr>
        <w:t>u</w:t>
      </w:r>
      <w:r w:rsidRPr="00512545">
        <w:rPr>
          <w:rFonts w:eastAsia="Calibri"/>
          <w:bCs/>
          <w:lang w:val="sr-Latn-ME"/>
        </w:rPr>
        <w:t xml:space="preserve"> </w:t>
      </w:r>
      <w:r w:rsidRPr="00512545">
        <w:rPr>
          <w:rFonts w:eastAsia="Calibri"/>
          <w:bCs/>
        </w:rPr>
        <w:t>slu</w:t>
      </w:r>
      <w:r w:rsidRPr="00512545">
        <w:rPr>
          <w:rFonts w:eastAsia="Calibri"/>
          <w:bCs/>
          <w:lang w:val="sr-Latn-ME"/>
        </w:rPr>
        <w:t>č</w:t>
      </w:r>
      <w:r w:rsidRPr="00512545">
        <w:rPr>
          <w:rFonts w:eastAsia="Calibri"/>
          <w:bCs/>
        </w:rPr>
        <w:t>ajevima</w:t>
      </w:r>
      <w:r w:rsidRPr="00512545">
        <w:rPr>
          <w:rFonts w:eastAsia="Calibri"/>
          <w:bCs/>
          <w:lang w:val="sr-Latn-ME"/>
        </w:rPr>
        <w:t xml:space="preserve"> </w:t>
      </w:r>
      <w:r w:rsidRPr="00512545">
        <w:rPr>
          <w:rFonts w:eastAsia="Calibri"/>
          <w:bCs/>
        </w:rPr>
        <w:t>slu</w:t>
      </w:r>
      <w:r w:rsidRPr="00512545">
        <w:rPr>
          <w:rFonts w:eastAsia="Calibri"/>
          <w:bCs/>
          <w:lang w:val="sr-Latn-ME"/>
        </w:rPr>
        <w:t>ž</w:t>
      </w:r>
      <w:r w:rsidRPr="00512545">
        <w:rPr>
          <w:rFonts w:eastAsia="Calibri"/>
          <w:bCs/>
        </w:rPr>
        <w:t>bene</w:t>
      </w:r>
      <w:r w:rsidRPr="00512545">
        <w:rPr>
          <w:rFonts w:eastAsia="Calibri"/>
          <w:bCs/>
          <w:lang w:val="sr-Latn-ME"/>
        </w:rPr>
        <w:t xml:space="preserve"> </w:t>
      </w:r>
      <w:r w:rsidRPr="00512545">
        <w:rPr>
          <w:rFonts w:eastAsia="Calibri"/>
          <w:bCs/>
        </w:rPr>
        <w:t>odbrane</w:t>
      </w:r>
      <w:r w:rsidRPr="00512545">
        <w:rPr>
          <w:rFonts w:eastAsia="Calibri"/>
          <w:bCs/>
          <w:lang w:val="sr-Latn-ME"/>
        </w:rPr>
        <w:t>.</w:t>
      </w:r>
      <w:proofErr w:type="gramEnd"/>
      <w:r w:rsidRPr="00512545">
        <w:rPr>
          <w:rFonts w:eastAsia="Calibri"/>
          <w:bCs/>
          <w:lang w:val="sr-Latn-ME"/>
        </w:rPr>
        <w:t xml:space="preserve"> </w:t>
      </w:r>
    </w:p>
    <w:p w:rsidR="007715E0" w:rsidRPr="00512545" w:rsidRDefault="007715E0" w:rsidP="007715E0">
      <w:pPr>
        <w:jc w:val="both"/>
        <w:rPr>
          <w:rFonts w:eastAsia="Calibri"/>
          <w:bCs/>
        </w:rPr>
      </w:pPr>
      <w:r w:rsidRPr="00512545">
        <w:rPr>
          <w:rFonts w:eastAsia="Calibri"/>
          <w:bCs/>
        </w:rPr>
        <w:t>Izvje</w:t>
      </w:r>
      <w:r w:rsidRPr="00512545">
        <w:rPr>
          <w:rFonts w:eastAsia="Calibri"/>
          <w:bCs/>
          <w:lang w:val="sr-Latn-ME"/>
        </w:rPr>
        <w:t>š</w:t>
      </w:r>
      <w:r w:rsidRPr="00512545">
        <w:rPr>
          <w:rFonts w:eastAsia="Calibri"/>
          <w:bCs/>
        </w:rPr>
        <w:t>taj</w:t>
      </w:r>
      <w:r w:rsidRPr="00512545">
        <w:rPr>
          <w:rFonts w:eastAsia="Calibri"/>
          <w:bCs/>
          <w:lang w:val="sr-Latn-ME"/>
        </w:rPr>
        <w:t xml:space="preserve"> </w:t>
      </w:r>
      <w:r w:rsidRPr="00512545">
        <w:rPr>
          <w:rFonts w:eastAsia="Calibri"/>
          <w:bCs/>
        </w:rPr>
        <w:t>o</w:t>
      </w:r>
      <w:r w:rsidRPr="00512545">
        <w:rPr>
          <w:rFonts w:eastAsia="Calibri"/>
          <w:bCs/>
          <w:lang w:val="sr-Latn-ME"/>
        </w:rPr>
        <w:t xml:space="preserve"> </w:t>
      </w:r>
      <w:r w:rsidRPr="00512545">
        <w:rPr>
          <w:rFonts w:eastAsia="Calibri"/>
          <w:bCs/>
        </w:rPr>
        <w:t>radu</w:t>
      </w:r>
      <w:r w:rsidRPr="00512545">
        <w:rPr>
          <w:rFonts w:eastAsia="Calibri"/>
          <w:bCs/>
          <w:lang w:val="sr-Latn-ME"/>
        </w:rPr>
        <w:t xml:space="preserve"> </w:t>
      </w:r>
      <w:r w:rsidRPr="00512545">
        <w:rPr>
          <w:rFonts w:eastAsia="Calibri"/>
          <w:bCs/>
        </w:rPr>
        <w:t>Za</w:t>
      </w:r>
      <w:r w:rsidRPr="00512545">
        <w:rPr>
          <w:rFonts w:eastAsia="Calibri"/>
          <w:bCs/>
          <w:lang w:val="sr-Latn-ME"/>
        </w:rPr>
        <w:t>š</w:t>
      </w:r>
      <w:r w:rsidRPr="00512545">
        <w:rPr>
          <w:rFonts w:eastAsia="Calibri"/>
          <w:bCs/>
        </w:rPr>
        <w:t>titnika</w:t>
      </w:r>
      <w:r w:rsidRPr="00512545">
        <w:rPr>
          <w:rFonts w:eastAsia="Calibri"/>
          <w:bCs/>
          <w:lang w:val="sr-Latn-ME"/>
        </w:rPr>
        <w:t xml:space="preserve"> </w:t>
      </w:r>
      <w:r w:rsidRPr="00512545">
        <w:rPr>
          <w:rFonts w:eastAsia="Calibri"/>
          <w:bCs/>
        </w:rPr>
        <w:t>ljudskih</w:t>
      </w:r>
      <w:r w:rsidRPr="00512545">
        <w:rPr>
          <w:rFonts w:eastAsia="Calibri"/>
          <w:bCs/>
          <w:lang w:val="sr-Latn-ME"/>
        </w:rPr>
        <w:t xml:space="preserve"> </w:t>
      </w:r>
      <w:r w:rsidRPr="00512545">
        <w:rPr>
          <w:rFonts w:eastAsia="Calibri"/>
          <w:bCs/>
        </w:rPr>
        <w:t>prava</w:t>
      </w:r>
      <w:r w:rsidRPr="00512545">
        <w:rPr>
          <w:rFonts w:eastAsia="Calibri"/>
          <w:bCs/>
          <w:lang w:val="sr-Latn-ME"/>
        </w:rPr>
        <w:t xml:space="preserve"> </w:t>
      </w:r>
      <w:r w:rsidRPr="00512545">
        <w:rPr>
          <w:rFonts w:eastAsia="Calibri"/>
          <w:bCs/>
        </w:rPr>
        <w:t>i</w:t>
      </w:r>
      <w:r w:rsidRPr="00512545">
        <w:rPr>
          <w:rFonts w:eastAsia="Calibri"/>
          <w:bCs/>
          <w:lang w:val="sr-Latn-ME"/>
        </w:rPr>
        <w:t xml:space="preserve"> </w:t>
      </w:r>
      <w:r w:rsidRPr="00512545">
        <w:rPr>
          <w:rFonts w:eastAsia="Calibri"/>
          <w:bCs/>
        </w:rPr>
        <w:t>sloboda</w:t>
      </w:r>
      <w:r w:rsidRPr="00512545">
        <w:rPr>
          <w:rFonts w:eastAsia="Calibri"/>
          <w:bCs/>
          <w:lang w:val="sr-Latn-ME"/>
        </w:rPr>
        <w:t xml:space="preserve"> </w:t>
      </w:r>
      <w:r w:rsidRPr="00512545">
        <w:rPr>
          <w:rFonts w:eastAsia="Calibri"/>
          <w:bCs/>
        </w:rPr>
        <w:t>za</w:t>
      </w:r>
      <w:r w:rsidRPr="00512545">
        <w:rPr>
          <w:rFonts w:eastAsia="Calibri"/>
          <w:bCs/>
          <w:lang w:val="sr-Latn-ME"/>
        </w:rPr>
        <w:t xml:space="preserve"> 2015.</w:t>
      </w:r>
      <w:r w:rsidRPr="00512545">
        <w:rPr>
          <w:rFonts w:eastAsia="Calibri"/>
          <w:bCs/>
        </w:rPr>
        <w:t>godinu</w:t>
      </w:r>
      <w:r w:rsidRPr="00512545">
        <w:rPr>
          <w:rFonts w:eastAsia="Calibri"/>
          <w:bCs/>
          <w:lang w:val="sr-Latn-ME"/>
        </w:rPr>
        <w:t xml:space="preserve">, </w:t>
      </w:r>
      <w:r w:rsidRPr="00512545">
        <w:rPr>
          <w:rFonts w:eastAsia="Calibri"/>
          <w:bCs/>
        </w:rPr>
        <w:t>tako</w:t>
      </w:r>
      <w:r w:rsidRPr="00512545">
        <w:rPr>
          <w:rFonts w:eastAsia="Calibri"/>
          <w:bCs/>
          <w:lang w:val="sr-Latn-ME"/>
        </w:rPr>
        <w:t>đ</w:t>
      </w:r>
      <w:r w:rsidRPr="00512545">
        <w:rPr>
          <w:rFonts w:eastAsia="Calibri"/>
          <w:bCs/>
        </w:rPr>
        <w:t>e</w:t>
      </w:r>
      <w:r w:rsidRPr="00512545">
        <w:rPr>
          <w:rFonts w:eastAsia="Calibri"/>
          <w:bCs/>
          <w:lang w:val="sr-Latn-ME"/>
        </w:rPr>
        <w:t xml:space="preserve"> </w:t>
      </w:r>
      <w:r w:rsidRPr="00512545">
        <w:rPr>
          <w:rFonts w:eastAsia="Calibri"/>
          <w:bCs/>
        </w:rPr>
        <w:t>navodi</w:t>
      </w:r>
      <w:r w:rsidRPr="00512545">
        <w:rPr>
          <w:rFonts w:eastAsia="Calibri"/>
          <w:bCs/>
          <w:lang w:val="sr-Latn-ME"/>
        </w:rPr>
        <w:t xml:space="preserve"> </w:t>
      </w:r>
      <w:r w:rsidRPr="00512545">
        <w:rPr>
          <w:rFonts w:eastAsia="Calibri"/>
          <w:bCs/>
        </w:rPr>
        <w:t>da</w:t>
      </w:r>
      <w:r w:rsidRPr="00512545">
        <w:rPr>
          <w:rFonts w:eastAsia="Calibri"/>
          <w:bCs/>
          <w:lang w:val="sr-Latn-ME"/>
        </w:rPr>
        <w:t xml:space="preserve"> </w:t>
      </w:r>
      <w:r w:rsidRPr="00512545">
        <w:rPr>
          <w:rFonts w:eastAsia="Calibri"/>
          <w:bCs/>
        </w:rPr>
        <w:t>je</w:t>
      </w:r>
      <w:r w:rsidRPr="00512545">
        <w:rPr>
          <w:rFonts w:eastAsia="Calibri"/>
          <w:bCs/>
          <w:lang w:val="sr-Latn-ME"/>
        </w:rPr>
        <w:t xml:space="preserve"> </w:t>
      </w:r>
      <w:r w:rsidRPr="00512545">
        <w:rPr>
          <w:rFonts w:eastAsia="Calibri"/>
          <w:bCs/>
        </w:rPr>
        <w:t>odre</w:t>
      </w:r>
      <w:r w:rsidRPr="00512545">
        <w:rPr>
          <w:rFonts w:eastAsia="Calibri"/>
          <w:bCs/>
          <w:lang w:val="sr-Latn-ME"/>
        </w:rPr>
        <w:t>đ</w:t>
      </w:r>
      <w:r w:rsidRPr="00512545">
        <w:rPr>
          <w:rFonts w:eastAsia="Calibri"/>
          <w:bCs/>
        </w:rPr>
        <w:t>eni</w:t>
      </w:r>
      <w:r w:rsidRPr="00512545">
        <w:rPr>
          <w:rFonts w:eastAsia="Calibri"/>
          <w:bCs/>
          <w:lang w:val="sr-Latn-ME"/>
        </w:rPr>
        <w:t xml:space="preserve"> </w:t>
      </w:r>
      <w:r w:rsidRPr="00512545">
        <w:rPr>
          <w:rFonts w:eastAsia="Calibri"/>
          <w:bCs/>
        </w:rPr>
        <w:t>broj</w:t>
      </w:r>
      <w:r w:rsidRPr="00512545">
        <w:rPr>
          <w:rFonts w:eastAsia="Calibri"/>
          <w:bCs/>
          <w:lang w:val="sr-Latn-ME"/>
        </w:rPr>
        <w:t xml:space="preserve"> </w:t>
      </w:r>
      <w:r w:rsidRPr="00512545">
        <w:rPr>
          <w:rFonts w:eastAsia="Calibri"/>
          <w:bCs/>
        </w:rPr>
        <w:t>gra</w:t>
      </w:r>
      <w:r w:rsidRPr="00512545">
        <w:rPr>
          <w:rFonts w:eastAsia="Calibri"/>
          <w:bCs/>
          <w:lang w:val="sr-Latn-ME"/>
        </w:rPr>
        <w:t>đ</w:t>
      </w:r>
      <w:r w:rsidRPr="00512545">
        <w:rPr>
          <w:rFonts w:eastAsia="Calibri"/>
          <w:bCs/>
        </w:rPr>
        <w:t>ana</w:t>
      </w:r>
      <w:r w:rsidRPr="00512545">
        <w:rPr>
          <w:rFonts w:eastAsia="Calibri"/>
          <w:bCs/>
          <w:lang w:val="sr-Latn-ME"/>
        </w:rPr>
        <w:t xml:space="preserve"> </w:t>
      </w:r>
      <w:r w:rsidRPr="00512545">
        <w:rPr>
          <w:rFonts w:eastAsia="Calibri"/>
          <w:bCs/>
        </w:rPr>
        <w:t>izrazio</w:t>
      </w:r>
      <w:r w:rsidRPr="00512545">
        <w:rPr>
          <w:rFonts w:eastAsia="Calibri"/>
          <w:bCs/>
          <w:lang w:val="sr-Latn-ME"/>
        </w:rPr>
        <w:t xml:space="preserve"> </w:t>
      </w:r>
      <w:r w:rsidRPr="00512545">
        <w:rPr>
          <w:rFonts w:eastAsia="Calibri"/>
          <w:bCs/>
        </w:rPr>
        <w:t>nezadovoljstvo</w:t>
      </w:r>
      <w:r w:rsidRPr="00512545">
        <w:rPr>
          <w:rFonts w:eastAsia="Calibri"/>
          <w:bCs/>
          <w:lang w:val="sr-Latn-ME"/>
        </w:rPr>
        <w:t xml:space="preserve"> </w:t>
      </w:r>
      <w:proofErr w:type="gramStart"/>
      <w:r w:rsidRPr="00512545">
        <w:rPr>
          <w:rFonts w:eastAsia="Calibri"/>
          <w:bCs/>
        </w:rPr>
        <w:t>radom</w:t>
      </w:r>
      <w:proofErr w:type="gramEnd"/>
      <w:r w:rsidRPr="00512545">
        <w:rPr>
          <w:rFonts w:eastAsia="Calibri"/>
          <w:bCs/>
          <w:lang w:val="sr-Latn-ME"/>
        </w:rPr>
        <w:t xml:space="preserve"> </w:t>
      </w:r>
      <w:r w:rsidRPr="00512545">
        <w:rPr>
          <w:rFonts w:eastAsia="Calibri"/>
          <w:bCs/>
        </w:rPr>
        <w:t>advokata</w:t>
      </w:r>
      <w:r w:rsidRPr="00512545">
        <w:rPr>
          <w:rFonts w:eastAsia="Calibri"/>
          <w:bCs/>
          <w:lang w:val="sr-Latn-ME"/>
        </w:rPr>
        <w:t xml:space="preserve">, </w:t>
      </w:r>
      <w:r w:rsidRPr="00512545">
        <w:rPr>
          <w:rFonts w:eastAsia="Calibri"/>
          <w:bCs/>
        </w:rPr>
        <w:t>ukazuju</w:t>
      </w:r>
      <w:r w:rsidRPr="00512545">
        <w:rPr>
          <w:rFonts w:eastAsia="Calibri"/>
          <w:bCs/>
          <w:lang w:val="sr-Latn-ME"/>
        </w:rPr>
        <w:t>ć</w:t>
      </w:r>
      <w:r w:rsidRPr="00512545">
        <w:rPr>
          <w:rFonts w:eastAsia="Calibri"/>
          <w:bCs/>
        </w:rPr>
        <w:t>i</w:t>
      </w:r>
      <w:r w:rsidRPr="00512545">
        <w:rPr>
          <w:rFonts w:eastAsia="Calibri"/>
          <w:bCs/>
          <w:lang w:val="sr-Latn-ME"/>
        </w:rPr>
        <w:t xml:space="preserve"> </w:t>
      </w:r>
      <w:r w:rsidRPr="00512545">
        <w:rPr>
          <w:rFonts w:eastAsia="Calibri"/>
          <w:bCs/>
        </w:rPr>
        <w:t>da</w:t>
      </w:r>
      <w:r w:rsidRPr="00512545">
        <w:rPr>
          <w:rFonts w:eastAsia="Calibri"/>
          <w:bCs/>
          <w:lang w:val="sr-Latn-ME"/>
        </w:rPr>
        <w:t xml:space="preserve"> </w:t>
      </w:r>
      <w:r w:rsidRPr="00512545">
        <w:rPr>
          <w:rFonts w:eastAsia="Calibri"/>
          <w:bCs/>
        </w:rPr>
        <w:t>avokati</w:t>
      </w:r>
      <w:r w:rsidRPr="00512545">
        <w:rPr>
          <w:rFonts w:eastAsia="Calibri"/>
          <w:bCs/>
          <w:lang w:val="sr-Latn-ME"/>
        </w:rPr>
        <w:t xml:space="preserve"> </w:t>
      </w:r>
      <w:r w:rsidRPr="00512545">
        <w:rPr>
          <w:rFonts w:eastAsia="Calibri"/>
          <w:bCs/>
        </w:rPr>
        <w:t>sa</w:t>
      </w:r>
      <w:r w:rsidRPr="00512545">
        <w:rPr>
          <w:rFonts w:eastAsia="Calibri"/>
          <w:bCs/>
          <w:lang w:val="sr-Latn-ME"/>
        </w:rPr>
        <w:t xml:space="preserve"> </w:t>
      </w:r>
      <w:r w:rsidRPr="00512545">
        <w:rPr>
          <w:rFonts w:eastAsia="Calibri"/>
          <w:bCs/>
        </w:rPr>
        <w:t>njima</w:t>
      </w:r>
      <w:r w:rsidRPr="00512545">
        <w:rPr>
          <w:rFonts w:eastAsia="Calibri"/>
          <w:bCs/>
          <w:lang w:val="sr-Latn-ME"/>
        </w:rPr>
        <w:t xml:space="preserve"> </w:t>
      </w:r>
      <w:r w:rsidRPr="00512545">
        <w:rPr>
          <w:rFonts w:eastAsia="Calibri"/>
          <w:bCs/>
        </w:rPr>
        <w:t>ne</w:t>
      </w:r>
      <w:r w:rsidRPr="00512545">
        <w:rPr>
          <w:rFonts w:eastAsia="Calibri"/>
          <w:bCs/>
          <w:lang w:val="sr-Latn-ME"/>
        </w:rPr>
        <w:t xml:space="preserve"> </w:t>
      </w:r>
      <w:r w:rsidRPr="00512545">
        <w:rPr>
          <w:rFonts w:eastAsia="Calibri"/>
          <w:bCs/>
        </w:rPr>
        <w:t>ostvaruju</w:t>
      </w:r>
      <w:r w:rsidRPr="00512545">
        <w:rPr>
          <w:rFonts w:eastAsia="Calibri"/>
          <w:bCs/>
          <w:lang w:val="sr-Latn-ME"/>
        </w:rPr>
        <w:t xml:space="preserve"> </w:t>
      </w:r>
      <w:r w:rsidRPr="00512545">
        <w:rPr>
          <w:rFonts w:eastAsia="Calibri"/>
          <w:bCs/>
        </w:rPr>
        <w:t>odgovaraju</w:t>
      </w:r>
      <w:r w:rsidRPr="00512545">
        <w:rPr>
          <w:rFonts w:eastAsia="Calibri"/>
          <w:bCs/>
          <w:lang w:val="sr-Latn-ME"/>
        </w:rPr>
        <w:t>ć</w:t>
      </w:r>
      <w:r w:rsidRPr="00512545">
        <w:rPr>
          <w:rFonts w:eastAsia="Calibri"/>
          <w:bCs/>
        </w:rPr>
        <w:t>i</w:t>
      </w:r>
      <w:r w:rsidRPr="00512545">
        <w:rPr>
          <w:rFonts w:eastAsia="Calibri"/>
          <w:bCs/>
          <w:lang w:val="sr-Latn-ME"/>
        </w:rPr>
        <w:t xml:space="preserve"> </w:t>
      </w:r>
      <w:r w:rsidRPr="00512545">
        <w:rPr>
          <w:rFonts w:eastAsia="Calibri"/>
          <w:bCs/>
        </w:rPr>
        <w:t>kontakt</w:t>
      </w:r>
      <w:r w:rsidRPr="00512545">
        <w:rPr>
          <w:rFonts w:eastAsia="Calibri"/>
          <w:bCs/>
          <w:lang w:val="sr-Latn-ME"/>
        </w:rPr>
        <w:t xml:space="preserve">, </w:t>
      </w:r>
      <w:r w:rsidRPr="00512545">
        <w:rPr>
          <w:rFonts w:eastAsia="Calibri"/>
          <w:bCs/>
        </w:rPr>
        <w:t>da</w:t>
      </w:r>
      <w:r w:rsidRPr="00512545">
        <w:rPr>
          <w:rFonts w:eastAsia="Calibri"/>
          <w:bCs/>
          <w:lang w:val="sr-Latn-ME"/>
        </w:rPr>
        <w:t xml:space="preserve"> </w:t>
      </w:r>
      <w:r w:rsidRPr="00512545">
        <w:rPr>
          <w:rFonts w:eastAsia="Calibri"/>
          <w:bCs/>
        </w:rPr>
        <w:t>ih</w:t>
      </w:r>
      <w:r w:rsidRPr="00512545">
        <w:rPr>
          <w:rFonts w:eastAsia="Calibri"/>
          <w:bCs/>
          <w:lang w:val="sr-Latn-ME"/>
        </w:rPr>
        <w:t xml:space="preserve"> </w:t>
      </w:r>
      <w:r w:rsidRPr="00512545">
        <w:rPr>
          <w:rFonts w:eastAsia="Calibri"/>
          <w:bCs/>
        </w:rPr>
        <w:t>ne</w:t>
      </w:r>
      <w:r w:rsidRPr="00512545">
        <w:rPr>
          <w:rFonts w:eastAsia="Calibri"/>
          <w:bCs/>
          <w:lang w:val="sr-Latn-ME"/>
        </w:rPr>
        <w:t xml:space="preserve"> </w:t>
      </w:r>
      <w:r w:rsidRPr="00512545">
        <w:rPr>
          <w:rFonts w:eastAsia="Calibri"/>
          <w:bCs/>
        </w:rPr>
        <w:t>obavje</w:t>
      </w:r>
      <w:r w:rsidRPr="00512545">
        <w:rPr>
          <w:rFonts w:eastAsia="Calibri"/>
          <w:bCs/>
          <w:lang w:val="sr-Latn-ME"/>
        </w:rPr>
        <w:t>š</w:t>
      </w:r>
      <w:r w:rsidRPr="00512545">
        <w:rPr>
          <w:rFonts w:eastAsia="Calibri"/>
          <w:bCs/>
        </w:rPr>
        <w:t>tavaju</w:t>
      </w:r>
      <w:r w:rsidRPr="00512545">
        <w:rPr>
          <w:rFonts w:eastAsia="Calibri"/>
          <w:bCs/>
          <w:lang w:val="sr-Latn-ME"/>
        </w:rPr>
        <w:t xml:space="preserve"> </w:t>
      </w:r>
      <w:r w:rsidRPr="00512545">
        <w:rPr>
          <w:rFonts w:eastAsia="Calibri"/>
          <w:bCs/>
        </w:rPr>
        <w:t>o</w:t>
      </w:r>
      <w:r w:rsidRPr="00512545">
        <w:rPr>
          <w:rFonts w:eastAsia="Calibri"/>
          <w:bCs/>
          <w:lang w:val="sr-Latn-ME"/>
        </w:rPr>
        <w:t xml:space="preserve"> </w:t>
      </w:r>
      <w:r w:rsidRPr="00512545">
        <w:rPr>
          <w:rFonts w:eastAsia="Calibri"/>
          <w:bCs/>
        </w:rPr>
        <w:t>radnjama</w:t>
      </w:r>
      <w:r w:rsidRPr="00512545">
        <w:rPr>
          <w:rFonts w:eastAsia="Calibri"/>
          <w:bCs/>
          <w:lang w:val="sr-Latn-ME"/>
        </w:rPr>
        <w:t xml:space="preserve"> </w:t>
      </w:r>
      <w:r w:rsidRPr="00512545">
        <w:rPr>
          <w:rFonts w:eastAsia="Calibri"/>
          <w:bCs/>
        </w:rPr>
        <w:t>koje</w:t>
      </w:r>
      <w:r w:rsidRPr="00512545">
        <w:rPr>
          <w:rFonts w:eastAsia="Calibri"/>
          <w:bCs/>
          <w:lang w:val="sr-Latn-ME"/>
        </w:rPr>
        <w:t xml:space="preserve"> </w:t>
      </w:r>
      <w:r w:rsidRPr="00512545">
        <w:rPr>
          <w:rFonts w:eastAsia="Calibri"/>
          <w:bCs/>
        </w:rPr>
        <w:t>preduzimaju</w:t>
      </w:r>
      <w:r w:rsidRPr="00512545">
        <w:rPr>
          <w:rFonts w:eastAsia="Calibri"/>
          <w:bCs/>
          <w:lang w:val="sr-Latn-ME"/>
        </w:rPr>
        <w:t xml:space="preserve"> </w:t>
      </w:r>
      <w:r w:rsidRPr="00512545">
        <w:rPr>
          <w:rFonts w:eastAsia="Calibri"/>
          <w:bCs/>
        </w:rPr>
        <w:t>ili</w:t>
      </w:r>
      <w:r w:rsidRPr="00512545">
        <w:rPr>
          <w:rFonts w:eastAsia="Calibri"/>
          <w:bCs/>
          <w:lang w:val="sr-Latn-ME"/>
        </w:rPr>
        <w:t xml:space="preserve"> </w:t>
      </w:r>
      <w:r w:rsidRPr="00512545">
        <w:rPr>
          <w:rFonts w:eastAsia="Calibri"/>
          <w:bCs/>
        </w:rPr>
        <w:t>namjeravaju</w:t>
      </w:r>
      <w:r w:rsidRPr="00512545">
        <w:rPr>
          <w:rFonts w:eastAsia="Calibri"/>
          <w:bCs/>
          <w:lang w:val="sr-Latn-ME"/>
        </w:rPr>
        <w:t xml:space="preserve"> </w:t>
      </w:r>
      <w:r w:rsidRPr="00512545">
        <w:rPr>
          <w:rFonts w:eastAsia="Calibri"/>
          <w:bCs/>
        </w:rPr>
        <w:t>preduzeti</w:t>
      </w:r>
      <w:r w:rsidRPr="00512545">
        <w:rPr>
          <w:rFonts w:eastAsia="Calibri"/>
          <w:bCs/>
          <w:lang w:val="sr-Latn-ME"/>
        </w:rPr>
        <w:t xml:space="preserve"> </w:t>
      </w:r>
      <w:r w:rsidRPr="00512545">
        <w:rPr>
          <w:rFonts w:eastAsia="Calibri"/>
          <w:bCs/>
        </w:rPr>
        <w:t>u</w:t>
      </w:r>
      <w:r w:rsidRPr="00512545">
        <w:rPr>
          <w:rFonts w:eastAsia="Calibri"/>
          <w:bCs/>
          <w:lang w:val="sr-Latn-ME"/>
        </w:rPr>
        <w:t xml:space="preserve"> </w:t>
      </w:r>
      <w:r w:rsidRPr="00512545">
        <w:rPr>
          <w:rFonts w:eastAsia="Calibri"/>
          <w:bCs/>
        </w:rPr>
        <w:t>postupcima</w:t>
      </w:r>
      <w:r w:rsidRPr="00512545">
        <w:rPr>
          <w:rFonts w:eastAsia="Calibri"/>
          <w:bCs/>
          <w:lang w:val="sr-Latn-ME"/>
        </w:rPr>
        <w:t xml:space="preserve"> </w:t>
      </w:r>
      <w:r w:rsidRPr="00512545">
        <w:rPr>
          <w:rFonts w:eastAsia="Calibri"/>
          <w:bCs/>
        </w:rPr>
        <w:t>u</w:t>
      </w:r>
      <w:r w:rsidRPr="00512545">
        <w:rPr>
          <w:rFonts w:eastAsia="Calibri"/>
          <w:bCs/>
          <w:lang w:val="sr-Latn-ME"/>
        </w:rPr>
        <w:t xml:space="preserve"> </w:t>
      </w:r>
      <w:r w:rsidRPr="00512545">
        <w:rPr>
          <w:rFonts w:eastAsia="Calibri"/>
          <w:bCs/>
        </w:rPr>
        <w:t>kojima</w:t>
      </w:r>
      <w:r w:rsidRPr="00512545">
        <w:rPr>
          <w:rFonts w:eastAsia="Calibri"/>
          <w:bCs/>
          <w:lang w:val="sr-Latn-ME"/>
        </w:rPr>
        <w:t xml:space="preserve"> </w:t>
      </w:r>
      <w:r w:rsidRPr="00512545">
        <w:rPr>
          <w:rFonts w:eastAsia="Calibri"/>
          <w:bCs/>
        </w:rPr>
        <w:t>ih</w:t>
      </w:r>
      <w:r w:rsidRPr="00512545">
        <w:rPr>
          <w:rFonts w:eastAsia="Calibri"/>
          <w:bCs/>
          <w:lang w:val="sr-Latn-ME"/>
        </w:rPr>
        <w:t xml:space="preserve"> </w:t>
      </w:r>
      <w:r w:rsidRPr="00512545">
        <w:rPr>
          <w:rFonts w:eastAsia="Calibri"/>
          <w:bCs/>
        </w:rPr>
        <w:t>zastupaju</w:t>
      </w:r>
      <w:r w:rsidRPr="00512545">
        <w:rPr>
          <w:rFonts w:eastAsia="Calibri"/>
          <w:bCs/>
          <w:lang w:val="sr-Latn-ME"/>
        </w:rPr>
        <w:t xml:space="preserve">. </w:t>
      </w:r>
      <w:r w:rsidRPr="00512545">
        <w:rPr>
          <w:rFonts w:eastAsia="Calibri"/>
          <w:bCs/>
        </w:rPr>
        <w:t xml:space="preserve">Neki građani su se žalili i </w:t>
      </w:r>
      <w:proofErr w:type="gramStart"/>
      <w:r w:rsidRPr="00512545">
        <w:rPr>
          <w:rFonts w:eastAsia="Calibri"/>
          <w:bCs/>
        </w:rPr>
        <w:t>na</w:t>
      </w:r>
      <w:proofErr w:type="gramEnd"/>
      <w:r w:rsidRPr="00512545">
        <w:rPr>
          <w:rFonts w:eastAsia="Calibri"/>
          <w:bCs/>
        </w:rPr>
        <w:t xml:space="preserve"> nedovoljno angažovanje branilaca, na “bahato” ponašanje</w:t>
      </w:r>
      <w:r w:rsidRPr="00512545">
        <w:rPr>
          <w:rFonts w:eastAsia="Calibri"/>
          <w:bCs/>
          <w:vertAlign w:val="superscript"/>
        </w:rPr>
        <w:footnoteReference w:id="35"/>
      </w:r>
      <w:r w:rsidRPr="00512545">
        <w:rPr>
          <w:rFonts w:eastAsia="Calibri"/>
          <w:bCs/>
        </w:rPr>
        <w:t xml:space="preserve">. </w:t>
      </w:r>
    </w:p>
    <w:p w:rsidR="007715E0" w:rsidRDefault="007715E0" w:rsidP="007715E0">
      <w:pPr>
        <w:autoSpaceDE w:val="0"/>
        <w:autoSpaceDN w:val="0"/>
        <w:adjustRightInd w:val="0"/>
        <w:jc w:val="both"/>
        <w:rPr>
          <w:iCs/>
        </w:rPr>
      </w:pPr>
      <w:proofErr w:type="gramStart"/>
      <w:r w:rsidRPr="00512545">
        <w:rPr>
          <w:rFonts w:eastAsia="Calibri"/>
          <w:bCs/>
        </w:rPr>
        <w:t>Naš zakonodavac ne predviđa nikakve posebne kriterijume za zastupanje po službenoj odbrani.</w:t>
      </w:r>
      <w:proofErr w:type="gramEnd"/>
      <w:r w:rsidRPr="00512545">
        <w:rPr>
          <w:rFonts w:eastAsia="Calibri"/>
          <w:bCs/>
        </w:rPr>
        <w:t xml:space="preserve"> Branilac u slučajevima obavezne odbrane može biti bilo koji registrovani advokat koji se nalazi </w:t>
      </w:r>
      <w:proofErr w:type="gramStart"/>
      <w:r w:rsidRPr="00512545">
        <w:rPr>
          <w:rFonts w:eastAsia="Calibri"/>
          <w:bCs/>
        </w:rPr>
        <w:t>na</w:t>
      </w:r>
      <w:proofErr w:type="gramEnd"/>
      <w:r w:rsidRPr="00512545">
        <w:rPr>
          <w:rFonts w:eastAsia="Calibri"/>
          <w:bCs/>
        </w:rPr>
        <w:t xml:space="preserve"> spisku koji sačinjava AKCG. Postavlja se pitanje </w:t>
      </w:r>
      <w:proofErr w:type="gramStart"/>
      <w:r w:rsidRPr="00512545">
        <w:rPr>
          <w:rFonts w:eastAsia="Calibri"/>
          <w:bCs/>
        </w:rPr>
        <w:t>na</w:t>
      </w:r>
      <w:proofErr w:type="gramEnd"/>
      <w:r w:rsidRPr="00512545">
        <w:rPr>
          <w:rFonts w:eastAsia="Calibri"/>
          <w:bCs/>
        </w:rPr>
        <w:t xml:space="preserve"> osnovu kojih kriterijuma je moguće utvrditi da će odbrana biti djelotvorna. </w:t>
      </w:r>
      <w:proofErr w:type="gramStart"/>
      <w:r w:rsidRPr="00512545">
        <w:rPr>
          <w:rFonts w:eastAsia="Calibri"/>
          <w:bCs/>
        </w:rPr>
        <w:t xml:space="preserve">Već je pomenuto da je mišljenje većine ispitanih advokata da ne treba uvoditi posebne kriterijume, već da je svaki advokat </w:t>
      </w:r>
      <w:r>
        <w:rPr>
          <w:rFonts w:eastAsia="Calibri"/>
          <w:bCs/>
        </w:rPr>
        <w:t xml:space="preserve">koji je registrovan za obavljanje advokature </w:t>
      </w:r>
      <w:r w:rsidRPr="00512545">
        <w:rPr>
          <w:rFonts w:eastAsia="Calibri"/>
          <w:bCs/>
        </w:rPr>
        <w:t>sposoban da pruži djelotvornu odbranu.</w:t>
      </w:r>
      <w:proofErr w:type="gramEnd"/>
      <w:r w:rsidRPr="00512545">
        <w:rPr>
          <w:rFonts w:eastAsia="Calibri"/>
          <w:bCs/>
        </w:rPr>
        <w:t xml:space="preserve"> </w:t>
      </w:r>
      <w:proofErr w:type="gramStart"/>
      <w:r w:rsidRPr="00512545">
        <w:rPr>
          <w:rFonts w:eastAsia="Calibri"/>
          <w:bCs/>
        </w:rPr>
        <w:t>S druge strane postoje i oni koji smatraju da nije beznačajna činjenica dužine staža bavljenja advokaturom, kao i specijalizova</w:t>
      </w:r>
      <w:r>
        <w:rPr>
          <w:rFonts w:eastAsia="Calibri"/>
          <w:bCs/>
        </w:rPr>
        <w:t>nost bavljenja krivičnim pravom.</w:t>
      </w:r>
      <w:proofErr w:type="gramEnd"/>
      <w:r>
        <w:rPr>
          <w:rFonts w:eastAsia="Calibri"/>
          <w:bCs/>
        </w:rPr>
        <w:t xml:space="preserve"> </w:t>
      </w:r>
      <w:r w:rsidRPr="00512545">
        <w:rPr>
          <w:rFonts w:eastAsia="Calibri"/>
          <w:lang w:val="sr-Latn-ME"/>
        </w:rPr>
        <w:t xml:space="preserve">Kao dio rješenja ovog problema </w:t>
      </w:r>
      <w:r w:rsidRPr="00024A5C">
        <w:rPr>
          <w:rFonts w:eastAsia="Calibri"/>
          <w:b/>
          <w:lang w:val="sr-Latn-ME"/>
        </w:rPr>
        <w:t>predlaže se stalna obuka advokata</w:t>
      </w:r>
      <w:r w:rsidRPr="00512545">
        <w:rPr>
          <w:rFonts w:eastAsia="Calibri"/>
          <w:lang w:val="sr-Latn-ME"/>
        </w:rPr>
        <w:t xml:space="preserve">, </w:t>
      </w:r>
      <w:r>
        <w:rPr>
          <w:rFonts w:eastAsia="Calibri"/>
          <w:lang w:val="sr-Latn-ME"/>
        </w:rPr>
        <w:t xml:space="preserve">kao i to da bi </w:t>
      </w:r>
      <w:r w:rsidRPr="00512545">
        <w:rPr>
          <w:rFonts w:eastAsia="Calibri"/>
          <w:lang w:val="sr-Latn-ME"/>
        </w:rPr>
        <w:t>advokati stalno treba</w:t>
      </w:r>
      <w:r>
        <w:rPr>
          <w:rFonts w:eastAsia="Calibri"/>
          <w:lang w:val="sr-Latn-ME"/>
        </w:rPr>
        <w:t>li</w:t>
      </w:r>
      <w:r w:rsidRPr="00512545">
        <w:rPr>
          <w:rFonts w:eastAsia="Calibri"/>
          <w:lang w:val="sr-Latn-ME"/>
        </w:rPr>
        <w:t xml:space="preserve"> da prate propise, pravnu praksu i stručnu literaturu i da obnavlja</w:t>
      </w:r>
      <w:r>
        <w:rPr>
          <w:rFonts w:eastAsia="Calibri"/>
          <w:lang w:val="sr-Latn-ME"/>
        </w:rPr>
        <w:t>ju</w:t>
      </w:r>
      <w:r w:rsidRPr="00512545">
        <w:rPr>
          <w:rFonts w:eastAsia="Calibri"/>
          <w:lang w:val="sr-Latn-ME"/>
        </w:rPr>
        <w:t>, usavršava</w:t>
      </w:r>
      <w:r>
        <w:rPr>
          <w:rFonts w:eastAsia="Calibri"/>
          <w:lang w:val="sr-Latn-ME"/>
        </w:rPr>
        <w:t>ju i proširuju</w:t>
      </w:r>
      <w:r w:rsidRPr="00512545">
        <w:rPr>
          <w:rFonts w:eastAsia="Calibri"/>
          <w:lang w:val="sr-Latn-ME"/>
        </w:rPr>
        <w:t xml:space="preserve"> svoje pravno i opšte obrazovanje, što je u skladu sa Kodeksom profesionalne etike advokata. Ipak, u ovom dijelu ne postoji jedino obaveza advokata. I drugi organi</w:t>
      </w:r>
      <w:r w:rsidRPr="00024A5C">
        <w:rPr>
          <w:rFonts w:eastAsia="Calibri"/>
          <w:b/>
          <w:lang w:val="sr-Latn-ME"/>
        </w:rPr>
        <w:t>( sudovi i tužilaštva) bi trebali da vode računa o tome  kakav je kvalitet odbrane koju pružaju branioci u slučajevima obavezne odbrane.</w:t>
      </w:r>
      <w:r w:rsidRPr="00512545">
        <w:rPr>
          <w:rFonts w:eastAsia="Calibri"/>
          <w:color w:val="33211D"/>
          <w:spacing w:val="15"/>
          <w:lang w:val="sr-Latn-ME"/>
        </w:rPr>
        <w:t xml:space="preserve"> Sa tim u vezi je i odredba člana 71 ZKP-a koja predviđa da </w:t>
      </w:r>
      <w:r w:rsidRPr="00512545">
        <w:rPr>
          <w:lang w:val="sr-Latn-ME" w:eastAsia="sr-Latn-ME"/>
        </w:rPr>
        <w:t>nadležni državni tužilac, odnosno predsjednik suda može razriješiti postavljenog branioca koji neuredno izvršava dužnost. Umjesto razriješenog branioca, nadležni državni tužilac, odnosno predsjednik suda postaviće drugog branioca. O razrješenju branioca obavijestiće se Advokatska komora</w:t>
      </w:r>
      <w:r w:rsidRPr="00512545">
        <w:rPr>
          <w:vertAlign w:val="superscript"/>
          <w:lang w:val="sr-Latn-ME" w:eastAsia="sr-Latn-ME"/>
        </w:rPr>
        <w:footnoteReference w:id="36"/>
      </w:r>
      <w:r w:rsidRPr="00512545">
        <w:rPr>
          <w:lang w:val="sr-Latn-ME" w:eastAsia="sr-Latn-ME"/>
        </w:rPr>
        <w:t>. Ova odredba ZKP-a predstavlja važnu gananciju za postizanje djelotvorne odbrane.</w:t>
      </w:r>
      <w:r w:rsidRPr="00512545">
        <w:t xml:space="preserve"> Takođe,</w:t>
      </w:r>
      <w:r>
        <w:t xml:space="preserve"> </w:t>
      </w:r>
      <w:r w:rsidRPr="00512545">
        <w:t xml:space="preserve">stav ESLJP je da se </w:t>
      </w:r>
      <w:proofErr w:type="gramStart"/>
      <w:r w:rsidRPr="00512545">
        <w:t>od</w:t>
      </w:r>
      <w:proofErr w:type="gramEnd"/>
      <w:r w:rsidRPr="00512545">
        <w:t xml:space="preserve"> </w:t>
      </w:r>
      <w:r w:rsidRPr="00512545">
        <w:rPr>
          <w:iCs/>
        </w:rPr>
        <w:t>od nadležnih organa zahtijeva da, u skladu sa članom 6 (3) c, intervenišu ukoliko je neuspjeh pravne pomoći branioca očigledan ili ukoliko je na drugi način ova pravna pomoć dovedena u pitanje</w:t>
      </w:r>
      <w:r w:rsidRPr="00512545">
        <w:rPr>
          <w:iCs/>
          <w:vertAlign w:val="superscript"/>
        </w:rPr>
        <w:footnoteReference w:id="37"/>
      </w:r>
      <w:r w:rsidRPr="00512545">
        <w:rPr>
          <w:iCs/>
        </w:rPr>
        <w:t xml:space="preserve">. </w:t>
      </w:r>
    </w:p>
    <w:p w:rsidR="007715E0" w:rsidRDefault="007715E0" w:rsidP="007715E0">
      <w:pPr>
        <w:autoSpaceDE w:val="0"/>
        <w:autoSpaceDN w:val="0"/>
        <w:adjustRightInd w:val="0"/>
        <w:jc w:val="both"/>
        <w:rPr>
          <w:iCs/>
        </w:rPr>
      </w:pPr>
      <w:r>
        <w:rPr>
          <w:iCs/>
        </w:rPr>
        <w:t xml:space="preserve">Istražujući djelotvornost službenih odbrana, poseban </w:t>
      </w:r>
      <w:proofErr w:type="gramStart"/>
      <w:r>
        <w:rPr>
          <w:iCs/>
        </w:rPr>
        <w:t>pažnja  bila</w:t>
      </w:r>
      <w:proofErr w:type="gramEnd"/>
      <w:r>
        <w:rPr>
          <w:iCs/>
        </w:rPr>
        <w:t xml:space="preserve"> je usmjerena i na dobijanje podataka o broju slučajeva u kojima su branioci postavljeni po službenoj dužnosti bili razriješeni dužnosti zbog toga što nijesu uredno izvršavali svoje dužnosti. S </w:t>
      </w:r>
      <w:proofErr w:type="gramStart"/>
      <w:r>
        <w:rPr>
          <w:iCs/>
        </w:rPr>
        <w:t>tim</w:t>
      </w:r>
      <w:proofErr w:type="gramEnd"/>
      <w:r>
        <w:rPr>
          <w:iCs/>
        </w:rPr>
        <w:t xml:space="preserve"> u vezi, upućen je zahtjev svim predsjednicima sudova sa ciljem dobijanja te informacije, i to za period od početka 2014, godine do kraja 2016.godine. Svi sudovi dostavi su tražene podatke, i kao rezultat njihove obrade dobijena je informacija da je u </w:t>
      </w:r>
      <w:r w:rsidRPr="00024A5C">
        <w:rPr>
          <w:b/>
          <w:iCs/>
        </w:rPr>
        <w:t xml:space="preserve">ukupno </w:t>
      </w:r>
      <w:proofErr w:type="gramStart"/>
      <w:r w:rsidRPr="00024A5C">
        <w:rPr>
          <w:b/>
          <w:iCs/>
        </w:rPr>
        <w:t>osamnaest(</w:t>
      </w:r>
      <w:proofErr w:type="gramEnd"/>
      <w:r w:rsidRPr="00024A5C">
        <w:rPr>
          <w:b/>
          <w:iCs/>
        </w:rPr>
        <w:t>18) predmeta došlo do razrješenja dužnosti postavljenog branioca</w:t>
      </w:r>
      <w:r>
        <w:rPr>
          <w:iCs/>
        </w:rPr>
        <w:t xml:space="preserve">. </w:t>
      </w:r>
      <w:proofErr w:type="gramStart"/>
      <w:r>
        <w:rPr>
          <w:iCs/>
        </w:rPr>
        <w:t>Ovakva praksa nam govori o dvije važne činjenice.</w:t>
      </w:r>
      <w:proofErr w:type="gramEnd"/>
      <w:r>
        <w:rPr>
          <w:iCs/>
        </w:rPr>
        <w:t xml:space="preserve"> Prvo, da taj broj nije neznatan, ako se ima u vidu da je pravo okrivljenog </w:t>
      </w:r>
      <w:proofErr w:type="gramStart"/>
      <w:r>
        <w:rPr>
          <w:iCs/>
        </w:rPr>
        <w:t>na</w:t>
      </w:r>
      <w:proofErr w:type="gramEnd"/>
      <w:r>
        <w:rPr>
          <w:iCs/>
        </w:rPr>
        <w:t xml:space="preserve"> odbranu osnovno ljudsko pravo i koje posledice neadekvatna odbrana može imati po okrivljenog. Takođe, da postoje oni branioci čije usluge pružanja odbrane nijesu uvijek onakve kako to nalažu standardi obavljanja njihove dužnosti, ali i da se postupanje branilaca aktivno prati od strane </w:t>
      </w:r>
      <w:proofErr w:type="gramStart"/>
      <w:r>
        <w:rPr>
          <w:iCs/>
        </w:rPr>
        <w:t>sudija  koji</w:t>
      </w:r>
      <w:proofErr w:type="gramEnd"/>
      <w:r>
        <w:rPr>
          <w:iCs/>
        </w:rPr>
        <w:t xml:space="preserve"> ulažu napore da cjelukupni krivični postupak  bude vođen uz poštovanje svih procesnih garancija prava na fer i pravično suđenje. </w:t>
      </w:r>
    </w:p>
    <w:p w:rsidR="007715E0" w:rsidRDefault="007715E0" w:rsidP="007715E0">
      <w:pPr>
        <w:autoSpaceDE w:val="0"/>
        <w:autoSpaceDN w:val="0"/>
        <w:adjustRightInd w:val="0"/>
        <w:jc w:val="both"/>
        <w:rPr>
          <w:iCs/>
        </w:rPr>
      </w:pPr>
    </w:p>
    <w:p w:rsidR="007715E0" w:rsidRPr="004D373D" w:rsidRDefault="007715E0" w:rsidP="007715E0">
      <w:pPr>
        <w:autoSpaceDE w:val="0"/>
        <w:autoSpaceDN w:val="0"/>
        <w:adjustRightInd w:val="0"/>
        <w:jc w:val="both"/>
        <w:rPr>
          <w:iCs/>
        </w:rPr>
      </w:pPr>
      <w:r w:rsidRPr="004D373D">
        <w:rPr>
          <w:iCs/>
        </w:rPr>
        <w:t xml:space="preserve">U cilju dobijanja informacija o broju disciplinskih postupaka koji su se vodili protiv advokata postavljenih po službenoj dužnosti, upućen je zahtjev Advokatskoj Komori Crne Gore, od kojih je dobijen odgovor da je </w:t>
      </w:r>
      <w:r>
        <w:rPr>
          <w:iCs/>
        </w:rPr>
        <w:t xml:space="preserve">u </w:t>
      </w:r>
      <w:r w:rsidRPr="004D373D">
        <w:rPr>
          <w:iCs/>
        </w:rPr>
        <w:t xml:space="preserve">ukupnom broju vođenih disciplninskih </w:t>
      </w:r>
      <w:proofErr w:type="gramStart"/>
      <w:r w:rsidRPr="004D373D">
        <w:rPr>
          <w:iCs/>
        </w:rPr>
        <w:t>postupaka  protiv</w:t>
      </w:r>
      <w:proofErr w:type="gramEnd"/>
      <w:r w:rsidRPr="004D373D">
        <w:rPr>
          <w:iCs/>
        </w:rPr>
        <w:t xml:space="preserve"> advokata, udio onih koji su se vodili  protiv branilaca postavljenih po službenoj dužnosti </w:t>
      </w:r>
      <w:r w:rsidRPr="004D373D">
        <w:rPr>
          <w:i/>
          <w:iCs/>
        </w:rPr>
        <w:t>neznatan.</w:t>
      </w:r>
      <w:r w:rsidRPr="004D373D">
        <w:rPr>
          <w:iCs/>
        </w:rPr>
        <w:t xml:space="preserve">  </w:t>
      </w:r>
    </w:p>
    <w:p w:rsidR="007715E0" w:rsidRPr="00CB7D5A" w:rsidRDefault="007715E0" w:rsidP="007715E0">
      <w:pPr>
        <w:autoSpaceDE w:val="0"/>
        <w:autoSpaceDN w:val="0"/>
        <w:adjustRightInd w:val="0"/>
        <w:jc w:val="both"/>
        <w:rPr>
          <w:iCs/>
        </w:rPr>
      </w:pPr>
      <w:proofErr w:type="gramStart"/>
      <w:r w:rsidRPr="00CB7D5A">
        <w:rPr>
          <w:iCs/>
        </w:rPr>
        <w:t>Bitno je pomenuti i da je Advokatska komora Crne Gore u cilju jasnog definisanja spiska advokata koji žele da budu angažovani kao branioci po službenoj dužnosti</w:t>
      </w:r>
      <w:r>
        <w:rPr>
          <w:iCs/>
        </w:rPr>
        <w:t>,</w:t>
      </w:r>
      <w:r w:rsidRPr="00CB7D5A">
        <w:rPr>
          <w:iCs/>
        </w:rPr>
        <w:t xml:space="preserve"> i s obzirom da se određeni broj advokata bavi isključivo </w:t>
      </w:r>
      <w:r>
        <w:rPr>
          <w:iCs/>
        </w:rPr>
        <w:t>građa</w:t>
      </w:r>
      <w:r w:rsidRPr="00CB7D5A">
        <w:rPr>
          <w:iCs/>
        </w:rPr>
        <w:t>n</w:t>
      </w:r>
      <w:r>
        <w:rPr>
          <w:iCs/>
        </w:rPr>
        <w:t>s</w:t>
      </w:r>
      <w:r w:rsidRPr="00CB7D5A">
        <w:rPr>
          <w:iCs/>
        </w:rPr>
        <w:t>kom materijom</w:t>
      </w:r>
      <w:r>
        <w:rPr>
          <w:iCs/>
        </w:rPr>
        <w:t>, poslala upit svi</w:t>
      </w:r>
      <w:r w:rsidRPr="00CB7D5A">
        <w:rPr>
          <w:iCs/>
        </w:rPr>
        <w:t>m advokatima da se izjasne o tome ukoliko ne žele da se bave službenom odbranom.</w:t>
      </w:r>
      <w:proofErr w:type="gramEnd"/>
      <w:r w:rsidRPr="00CB7D5A">
        <w:rPr>
          <w:iCs/>
        </w:rPr>
        <w:t xml:space="preserve"> Međutim, nije evidentiran niti jedan advokat koji je izrazio želju da bude izuzet </w:t>
      </w:r>
      <w:proofErr w:type="gramStart"/>
      <w:r w:rsidRPr="00CB7D5A">
        <w:rPr>
          <w:iCs/>
        </w:rPr>
        <w:t>sa</w:t>
      </w:r>
      <w:proofErr w:type="gramEnd"/>
      <w:r w:rsidRPr="00CB7D5A">
        <w:rPr>
          <w:iCs/>
        </w:rPr>
        <w:t xml:space="preserve"> spiska. </w:t>
      </w:r>
    </w:p>
    <w:p w:rsidR="007715E0" w:rsidRPr="007E7087" w:rsidRDefault="007715E0" w:rsidP="007715E0">
      <w:pPr>
        <w:autoSpaceDE w:val="0"/>
        <w:autoSpaceDN w:val="0"/>
        <w:adjustRightInd w:val="0"/>
        <w:jc w:val="both"/>
        <w:rPr>
          <w:rFonts w:eastAsia="Calibri"/>
          <w:b/>
          <w:bCs/>
        </w:rPr>
      </w:pPr>
    </w:p>
    <w:p w:rsidR="007715E0" w:rsidRPr="007E7087" w:rsidRDefault="007715E0" w:rsidP="002924DE">
      <w:pPr>
        <w:numPr>
          <w:ilvl w:val="2"/>
          <w:numId w:val="5"/>
        </w:numPr>
        <w:autoSpaceDE w:val="0"/>
        <w:autoSpaceDN w:val="0"/>
        <w:adjustRightInd w:val="0"/>
        <w:spacing w:after="0" w:line="240" w:lineRule="auto"/>
        <w:jc w:val="both"/>
        <w:rPr>
          <w:rFonts w:eastAsia="Calibri"/>
          <w:b/>
          <w:bCs/>
        </w:rPr>
      </w:pPr>
      <w:r w:rsidRPr="007E7087">
        <w:rPr>
          <w:rFonts w:eastAsia="Calibri"/>
          <w:b/>
          <w:bCs/>
        </w:rPr>
        <w:t xml:space="preserve">Ispitivanje sudija </w:t>
      </w:r>
    </w:p>
    <w:p w:rsidR="007715E0" w:rsidRDefault="007715E0" w:rsidP="007715E0">
      <w:pPr>
        <w:jc w:val="center"/>
        <w:rPr>
          <w:b/>
        </w:rPr>
      </w:pPr>
    </w:p>
    <w:p w:rsidR="004549D6" w:rsidRDefault="007715E0" w:rsidP="007715E0">
      <w:pPr>
        <w:jc w:val="both"/>
        <w:rPr>
          <w:lang w:val="sr-Latn-ME" w:eastAsia="sr-Latn-ME"/>
        </w:rPr>
      </w:pPr>
      <w:r w:rsidRPr="00FA2BDB">
        <w:t>U cilju sveobuhvatnog sagledavanja funkcionisanja sistema službene odbrane u krivičnim postupcima koji se vode pred sudovima u Crnoj Gori,</w:t>
      </w:r>
      <w:r>
        <w:t xml:space="preserve"> metod istraživanja obuhvatio j</w:t>
      </w:r>
      <w:r w:rsidRPr="00FA2BDB">
        <w:t>e</w:t>
      </w:r>
      <w:r>
        <w:t xml:space="preserve"> </w:t>
      </w:r>
      <w:r w:rsidRPr="00FA2BDB">
        <w:t>i ispitivanja nosilaca sudijske funcije o temi koja je pr</w:t>
      </w:r>
      <w:r>
        <w:t>edmet an</w:t>
      </w:r>
      <w:r w:rsidRPr="00FA2BDB">
        <w:t>a</w:t>
      </w:r>
      <w:r>
        <w:t>l</w:t>
      </w:r>
      <w:r w:rsidRPr="00FA2BDB">
        <w:t xml:space="preserve">ize. Dakle, </w:t>
      </w:r>
      <w:r>
        <w:t xml:space="preserve">putem unaprijed pripremljenog upitnika, zatražili smo od svih sudija krivičara u Crnoj Gori da nam iznesu mišljenje o tome kakav je po njihovoj ocjeni kvalitet odbrane koji pružaju branioci određeni po službenoj dužnosti, broj uočenih slučajeva gdje su branioci pokazali pasivnost tokom postupka, te da daju sugestije i prijedloge koji bi pomogli postizanju što kvalitetnijeg sistema službene odbrane. </w:t>
      </w:r>
      <w:proofErr w:type="gramStart"/>
      <w:r>
        <w:t xml:space="preserve">Polaznu osnovu ovog ispitivanja predstvalja </w:t>
      </w:r>
      <w:r w:rsidRPr="00512545">
        <w:rPr>
          <w:rFonts w:eastAsia="Calibri"/>
          <w:color w:val="33211D"/>
          <w:spacing w:val="15"/>
          <w:lang w:val="sr-Latn-ME"/>
        </w:rPr>
        <w:t xml:space="preserve">odredba člana 71 ZKP-a koja predviđa da </w:t>
      </w:r>
      <w:r w:rsidRPr="00512545">
        <w:rPr>
          <w:lang w:val="sr-Latn-ME" w:eastAsia="sr-Latn-ME"/>
        </w:rPr>
        <w:t>nadležni državni tužilac, odnosno predsjednik suda može razriješiti postavljenog branioca koji neuredno izvršava dužnost.</w:t>
      </w:r>
      <w:proofErr w:type="gramEnd"/>
      <w:r>
        <w:rPr>
          <w:lang w:val="sr-Latn-ME" w:eastAsia="sr-Latn-ME"/>
        </w:rPr>
        <w:t xml:space="preserve"> Dakle, uloga suda ne bi trebala da bude inertna, već sud ima obavezu da prati postupanje branailaca po službenoj dužnosti. Ukupno 40 sudija krivičara dostavilo je odgovore na pitanja sadržana u upitniku, i u daljem dijelu biće prikazani rezultati ovog istraživanja. </w:t>
      </w:r>
    </w:p>
    <w:p w:rsidR="004549D6" w:rsidRDefault="004549D6">
      <w:pPr>
        <w:rPr>
          <w:lang w:val="sr-Latn-ME" w:eastAsia="sr-Latn-ME"/>
        </w:rPr>
      </w:pPr>
      <w:r>
        <w:rPr>
          <w:lang w:val="sr-Latn-ME" w:eastAsia="sr-Latn-ME"/>
        </w:rPr>
        <w:br w:type="page"/>
      </w:r>
    </w:p>
    <w:p w:rsidR="007715E0" w:rsidRPr="004936B4" w:rsidRDefault="007715E0" w:rsidP="002924DE">
      <w:pPr>
        <w:pStyle w:val="ListParagraph"/>
        <w:numPr>
          <w:ilvl w:val="0"/>
          <w:numId w:val="2"/>
        </w:numPr>
        <w:spacing w:after="160" w:line="259" w:lineRule="auto"/>
        <w:jc w:val="center"/>
        <w:rPr>
          <w:i/>
        </w:rPr>
      </w:pPr>
      <w:r w:rsidRPr="004936B4">
        <w:rPr>
          <w:i/>
        </w:rPr>
        <w:lastRenderedPageBreak/>
        <w:t xml:space="preserve">Da li smatrate da isti kvalitet odbrane pružaju strankama branioci po službenoj dužnosti kao i oni koji su angažovani </w:t>
      </w:r>
      <w:proofErr w:type="gramStart"/>
      <w:r w:rsidRPr="004936B4">
        <w:rPr>
          <w:i/>
        </w:rPr>
        <w:t>od</w:t>
      </w:r>
      <w:proofErr w:type="gramEnd"/>
      <w:r w:rsidRPr="004936B4">
        <w:rPr>
          <w:i/>
        </w:rPr>
        <w:t xml:space="preserve"> strane klijenata?</w:t>
      </w:r>
    </w:p>
    <w:p w:rsidR="007715E0" w:rsidRPr="00575558" w:rsidRDefault="007715E0" w:rsidP="007715E0">
      <w:pPr>
        <w:pStyle w:val="ListParagraph"/>
      </w:pPr>
      <w:r>
        <w:rPr>
          <w:noProof/>
          <w:lang w:val="sr-Latn-ME" w:eastAsia="sr-Latn-ME"/>
        </w:rPr>
        <w:drawing>
          <wp:inline distT="0" distB="0" distL="0" distR="0">
            <wp:extent cx="5486400" cy="320040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15E0" w:rsidRPr="00575558" w:rsidRDefault="007715E0" w:rsidP="007715E0">
      <w:pPr>
        <w:pStyle w:val="ListParagraph"/>
      </w:pPr>
    </w:p>
    <w:p w:rsidR="007715E0" w:rsidRPr="004936B4" w:rsidRDefault="007715E0" w:rsidP="002924DE">
      <w:pPr>
        <w:pStyle w:val="ListParagraph"/>
        <w:numPr>
          <w:ilvl w:val="0"/>
          <w:numId w:val="2"/>
        </w:numPr>
        <w:spacing w:after="160" w:line="259" w:lineRule="auto"/>
        <w:jc w:val="center"/>
        <w:rPr>
          <w:i/>
        </w:rPr>
      </w:pPr>
      <w:r w:rsidRPr="004936B4">
        <w:rPr>
          <w:i/>
        </w:rPr>
        <w:t xml:space="preserve">Da li ste tokom suđenja primijetili pasivnost u odbrani </w:t>
      </w:r>
      <w:proofErr w:type="gramStart"/>
      <w:r w:rsidRPr="004936B4">
        <w:rPr>
          <w:i/>
        </w:rPr>
        <w:t>od</w:t>
      </w:r>
      <w:proofErr w:type="gramEnd"/>
      <w:r w:rsidRPr="004936B4">
        <w:rPr>
          <w:i/>
        </w:rPr>
        <w:t xml:space="preserve"> strane branilaca koji su postavljeni po službenoj dužnosti?</w:t>
      </w:r>
    </w:p>
    <w:p w:rsidR="007715E0" w:rsidRPr="00575558" w:rsidRDefault="007715E0" w:rsidP="007715E0">
      <w:pPr>
        <w:ind w:firstLine="720"/>
        <w:jc w:val="center"/>
      </w:pPr>
      <w:r>
        <w:rPr>
          <w:noProof/>
          <w:lang w:val="sr-Latn-ME" w:eastAsia="sr-Latn-ME"/>
        </w:rPr>
        <w:drawing>
          <wp:inline distT="0" distB="0" distL="0" distR="0">
            <wp:extent cx="5486400" cy="320040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15E0" w:rsidRPr="00575558" w:rsidRDefault="007715E0" w:rsidP="007715E0">
      <w:pPr>
        <w:jc w:val="center"/>
      </w:pPr>
    </w:p>
    <w:p w:rsidR="007715E0" w:rsidRPr="00575558" w:rsidRDefault="007715E0" w:rsidP="007715E0">
      <w:pPr>
        <w:jc w:val="center"/>
      </w:pPr>
    </w:p>
    <w:p w:rsidR="007715E0" w:rsidRDefault="007715E0" w:rsidP="002924DE">
      <w:pPr>
        <w:pStyle w:val="ListParagraph"/>
        <w:numPr>
          <w:ilvl w:val="0"/>
          <w:numId w:val="2"/>
        </w:numPr>
        <w:spacing w:after="160" w:line="259" w:lineRule="auto"/>
        <w:jc w:val="center"/>
        <w:rPr>
          <w:i/>
        </w:rPr>
      </w:pPr>
      <w:r w:rsidRPr="004936B4">
        <w:rPr>
          <w:i/>
        </w:rPr>
        <w:t xml:space="preserve">Koliko je u Vašoj praksi bilo slučajeva u kojima ste primijetili da branioci po službenoj dužnosti nijesu zastupali klijente savjesno i brižljivo, odnosno u skladu </w:t>
      </w:r>
      <w:proofErr w:type="gramStart"/>
      <w:r w:rsidRPr="004936B4">
        <w:rPr>
          <w:i/>
        </w:rPr>
        <w:t>sa</w:t>
      </w:r>
      <w:proofErr w:type="gramEnd"/>
      <w:r w:rsidRPr="004936B4">
        <w:rPr>
          <w:i/>
        </w:rPr>
        <w:t xml:space="preserve"> Kodeksom profesionalne etike advokata? </w:t>
      </w:r>
    </w:p>
    <w:p w:rsidR="007715E0" w:rsidRPr="004936B4" w:rsidRDefault="007715E0" w:rsidP="007715E0">
      <w:pPr>
        <w:pStyle w:val="ListParagraph"/>
        <w:spacing w:after="160" w:line="259" w:lineRule="auto"/>
        <w:jc w:val="center"/>
        <w:rPr>
          <w:i/>
        </w:rPr>
      </w:pPr>
    </w:p>
    <w:p w:rsidR="007715E0" w:rsidRPr="00575558" w:rsidRDefault="007715E0" w:rsidP="007715E0">
      <w:pPr>
        <w:ind w:firstLine="360"/>
        <w:jc w:val="center"/>
      </w:pPr>
    </w:p>
    <w:p w:rsidR="007715E0" w:rsidRDefault="007715E0" w:rsidP="007715E0">
      <w:pPr>
        <w:pStyle w:val="ListParagraph"/>
        <w:spacing w:after="160" w:line="259" w:lineRule="auto"/>
        <w:ind w:left="360"/>
        <w:jc w:val="center"/>
      </w:pPr>
      <w:r>
        <w:rPr>
          <w:noProof/>
          <w:lang w:val="sr-Latn-ME" w:eastAsia="sr-Latn-ME"/>
        </w:rPr>
        <w:drawing>
          <wp:inline distT="0" distB="0" distL="0" distR="0">
            <wp:extent cx="5486400" cy="3095625"/>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715E0" w:rsidRDefault="007715E0" w:rsidP="007715E0">
      <w:pPr>
        <w:pStyle w:val="ListParagraph"/>
        <w:spacing w:after="160" w:line="259" w:lineRule="auto"/>
        <w:ind w:left="360"/>
        <w:jc w:val="both"/>
      </w:pPr>
    </w:p>
    <w:p w:rsidR="007715E0" w:rsidRPr="00A850CD" w:rsidRDefault="007715E0" w:rsidP="002924DE">
      <w:pPr>
        <w:pStyle w:val="ListParagraph"/>
        <w:numPr>
          <w:ilvl w:val="0"/>
          <w:numId w:val="2"/>
        </w:numPr>
        <w:spacing w:after="160" w:line="259" w:lineRule="auto"/>
        <w:jc w:val="center"/>
        <w:rPr>
          <w:i/>
        </w:rPr>
      </w:pPr>
      <w:r w:rsidRPr="00A850CD">
        <w:rPr>
          <w:i/>
        </w:rPr>
        <w:t xml:space="preserve">Molimo Vas da navedete prijedloge/ sugestije za povećanje kvaliteta odbrane po službenoj dužnosti. </w:t>
      </w:r>
    </w:p>
    <w:p w:rsidR="007715E0" w:rsidRPr="00A850CD" w:rsidRDefault="007715E0" w:rsidP="007715E0">
      <w:pPr>
        <w:pStyle w:val="ListParagraph"/>
        <w:rPr>
          <w:i/>
        </w:rPr>
      </w:pPr>
    </w:p>
    <w:p w:rsidR="007715E0" w:rsidRDefault="007715E0" w:rsidP="007715E0">
      <w:pPr>
        <w:pStyle w:val="ListParagraph"/>
      </w:pPr>
    </w:p>
    <w:p w:rsidR="007715E0" w:rsidRDefault="007715E0" w:rsidP="007715E0">
      <w:pPr>
        <w:pStyle w:val="ListParagraph"/>
      </w:pPr>
      <w:r>
        <w:rPr>
          <w:noProof/>
          <w:lang w:val="sr-Latn-ME" w:eastAsia="sr-Latn-ME"/>
        </w:rPr>
        <w:drawing>
          <wp:inline distT="0" distB="0" distL="0" distR="0">
            <wp:extent cx="5686425" cy="32004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715E0" w:rsidRDefault="007715E0" w:rsidP="007715E0">
      <w:pPr>
        <w:pStyle w:val="ListParagraph"/>
      </w:pPr>
    </w:p>
    <w:p w:rsidR="007715E0" w:rsidRPr="0070468B" w:rsidRDefault="007715E0" w:rsidP="007715E0">
      <w:pPr>
        <w:pStyle w:val="ListParagraph"/>
        <w:spacing w:after="160" w:line="259" w:lineRule="auto"/>
        <w:jc w:val="both"/>
        <w:rPr>
          <w:b/>
        </w:rPr>
      </w:pPr>
      <w:r>
        <w:t xml:space="preserve">Kao što se može vidjeti na osnovu gore prikazanih slika, postoji značajan broj onih sudija( 33%  ) koji smatraju da branioci određeni po službenoj dužnosti ne pružaju isti kvalitet odbrane kao oni koje sama stranka odabere po svom izboru. Imajući u vidu da sudije imaju značajnu ulogu prilikom praćenja postupanja branilaca tokom postupka, </w:t>
      </w:r>
      <w:proofErr w:type="gramStart"/>
      <w:r>
        <w:t>te</w:t>
      </w:r>
      <w:proofErr w:type="gramEnd"/>
      <w:r>
        <w:t xml:space="preserve"> da imaju </w:t>
      </w:r>
      <w:r>
        <w:lastRenderedPageBreak/>
        <w:t xml:space="preserve">mogućnost da iniciraju i postupak razrješenja takvih branilaca, nameće se zaključak da odbrana po službenoj dužnosti nije u svim slučajevima pružena kako to nalažu najviši standardi profesionalnog obavljanja advokatske profesije. Sličan rezultat dobijen je analizom sledećeg pitanja uupućenog sudijama, koji se odnosi </w:t>
      </w:r>
      <w:proofErr w:type="gramStart"/>
      <w:r>
        <w:t>na</w:t>
      </w:r>
      <w:proofErr w:type="gramEnd"/>
      <w:r>
        <w:t xml:space="preserve"> pasivnost branilaca tokom trajanja postupka. </w:t>
      </w:r>
      <w:proofErr w:type="gramStart"/>
      <w:r>
        <w:t>Naime, ukupno 30% sudija je primijetilo pasivno ponašanje branilaca tokom trajanja postupaka u kojima su bili postupajuće sudije pa su mogli da uoče takvo ponašanje.</w:t>
      </w:r>
      <w:proofErr w:type="gramEnd"/>
      <w:r>
        <w:t xml:space="preserve"> Na pitanje k</w:t>
      </w:r>
      <w:r w:rsidRPr="00575558">
        <w:t>oliko je u pr</w:t>
      </w:r>
      <w:r>
        <w:t>aksi bilo slučajeva u kojima su</w:t>
      </w:r>
      <w:r w:rsidRPr="00575558">
        <w:t xml:space="preserve"> primijetili da branioci po službenoj dužnosti nijesu zastupali klijente sav</w:t>
      </w:r>
      <w:r>
        <w:t>jesno i brižljivo, odnosno u sk</w:t>
      </w:r>
      <w:r w:rsidRPr="00575558">
        <w:t>l</w:t>
      </w:r>
      <w:r>
        <w:t>a</w:t>
      </w:r>
      <w:r w:rsidRPr="00575558">
        <w:t xml:space="preserve">du </w:t>
      </w:r>
      <w:proofErr w:type="gramStart"/>
      <w:r w:rsidRPr="00575558">
        <w:t>sa</w:t>
      </w:r>
      <w:proofErr w:type="gramEnd"/>
      <w:r w:rsidRPr="00575558">
        <w:t xml:space="preserve"> Kodeks</w:t>
      </w:r>
      <w:r>
        <w:t xml:space="preserve">om profesionalne etike advokata, ukupno 70% sudija je dalo negativan odgovor, što čini dominantno mišljenje o ovoj pitanju. Ipak, s druge strane, postoji određeni broj </w:t>
      </w:r>
      <w:proofErr w:type="gramStart"/>
      <w:r>
        <w:t>sudija(</w:t>
      </w:r>
      <w:proofErr w:type="gramEnd"/>
      <w:r w:rsidRPr="00575558">
        <w:t xml:space="preserve"> </w:t>
      </w:r>
      <w:r>
        <w:t xml:space="preserve">18%) koji su mišljenja da branioci nijesu postupali uvijek u skladu sa profesionalnim standardima svoje profesije. Kada se ima u vidu činjenica da je </w:t>
      </w:r>
      <w:r w:rsidRPr="0070468B">
        <w:rPr>
          <w:b/>
        </w:rPr>
        <w:t>prav</w:t>
      </w:r>
      <w:r>
        <w:rPr>
          <w:b/>
        </w:rPr>
        <w:t xml:space="preserve">o </w:t>
      </w:r>
      <w:proofErr w:type="gramStart"/>
      <w:r>
        <w:rPr>
          <w:b/>
        </w:rPr>
        <w:t>na</w:t>
      </w:r>
      <w:proofErr w:type="gramEnd"/>
      <w:r>
        <w:rPr>
          <w:b/>
        </w:rPr>
        <w:t xml:space="preserve"> odbranu </w:t>
      </w:r>
      <w:r w:rsidRPr="0070468B">
        <w:rPr>
          <w:b/>
        </w:rPr>
        <w:t>o</w:t>
      </w:r>
      <w:r>
        <w:rPr>
          <w:b/>
        </w:rPr>
        <w:t>s</w:t>
      </w:r>
      <w:r w:rsidRPr="0070468B">
        <w:rPr>
          <w:b/>
        </w:rPr>
        <w:t xml:space="preserve">novno ljudsko pravo </w:t>
      </w:r>
      <w:r>
        <w:rPr>
          <w:b/>
        </w:rPr>
        <w:t xml:space="preserve">okrivljenog </w:t>
      </w:r>
      <w:r w:rsidRPr="0070468B">
        <w:rPr>
          <w:b/>
        </w:rPr>
        <w:t xml:space="preserve">zagarantovano brojnim međunarodnim i nacionalnim standardima, te da neadekvatna odbrana može imati dalekosežne posledice po slobode i prava okrivljenog, </w:t>
      </w:r>
      <w:r>
        <w:rPr>
          <w:b/>
        </w:rPr>
        <w:t>prema ovakvim slučajevima pasivne i neprimjerene odbrane bi trebalo zauzeti nultnu teleranciju.</w:t>
      </w:r>
      <w:r w:rsidRPr="0070468B">
        <w:rPr>
          <w:b/>
        </w:rPr>
        <w:t xml:space="preserve"> </w:t>
      </w:r>
    </w:p>
    <w:p w:rsidR="007715E0" w:rsidRDefault="007715E0" w:rsidP="007715E0">
      <w:pPr>
        <w:pStyle w:val="ListParagraph"/>
        <w:ind w:left="0"/>
      </w:pPr>
    </w:p>
    <w:p w:rsidR="007715E0" w:rsidRDefault="007715E0" w:rsidP="007715E0">
      <w:pPr>
        <w:pStyle w:val="ListParagraph"/>
        <w:jc w:val="both"/>
        <w:rPr>
          <w:lang w:val="sr-Latn-ME"/>
        </w:rPr>
      </w:pPr>
      <w:r>
        <w:t xml:space="preserve">Analizirajući odgovore dobijene od sudija o tome koje su njihove sugestije koje bi dovele do povećanja kvaliteta odbrane, dobijen je podatak da 18% njih smatra da je potrebno povećati advokatske tarife u slučajevima službene odbrane jer bi se time uticalo ns motivisanje advokata, a samim tim i na veći kvalitet takvih odbrana. Nadalje, </w:t>
      </w:r>
      <w:proofErr w:type="gramStart"/>
      <w:r>
        <w:t>( njih</w:t>
      </w:r>
      <w:proofErr w:type="gramEnd"/>
      <w:r>
        <w:t xml:space="preserve"> 0. 8%) navode da  bi </w:t>
      </w:r>
      <w:r>
        <w:rPr>
          <w:lang w:val="sr-Latn-ME"/>
        </w:rPr>
        <w:t>Advokatska komora trebala, prilikom sačinjavanja liste advokata sa područja suda, od advokata tražiti izjašnjenje u kojoj pravnoj oblasti su sprecijalizovani tako da mogu sačiniti listu koja će se sastojati isključivo iz advokata koji se bave krivicom radi kvalitetnije odbrane optuženog. Smatraju da se u praksi dovodi u pitanje kvalitet odbrane upravo zato što advokatu koji je postavljen po službenoj dužnosti nije specijalnost krivica nego građanska, vanparnična, upravna ili neka druga pravna oblast</w:t>
      </w:r>
      <w:r>
        <w:rPr>
          <w:rStyle w:val="FootnoteReference"/>
          <w:lang w:val="sr-Latn-ME"/>
        </w:rPr>
        <w:footnoteReference w:id="38"/>
      </w:r>
      <w:r>
        <w:rPr>
          <w:lang w:val="sr-Latn-ME"/>
        </w:rPr>
        <w:t>.</w:t>
      </w:r>
    </w:p>
    <w:p w:rsidR="007715E0" w:rsidRDefault="007715E0" w:rsidP="007715E0">
      <w:pPr>
        <w:pStyle w:val="ListParagraph"/>
        <w:jc w:val="both"/>
        <w:rPr>
          <w:lang w:val="sr-Latn-ME"/>
        </w:rPr>
      </w:pPr>
    </w:p>
    <w:p w:rsidR="007715E0" w:rsidRDefault="007715E0" w:rsidP="007715E0">
      <w:pPr>
        <w:pStyle w:val="ListParagraph"/>
        <w:jc w:val="both"/>
        <w:rPr>
          <w:lang w:val="sr-Latn-ME"/>
        </w:rPr>
      </w:pPr>
      <w:r>
        <w:rPr>
          <w:lang w:val="sr-Latn-ME"/>
        </w:rPr>
        <w:t xml:space="preserve">Značajnom se čini i sledeća sugestija određenog broja ispitanih sudija (njih 10%) koji smatraju da bi se kvalitet odbrane od strane advokata postavljenih po službenoj dužnosti mogao popraviti ukoliko bi se aktivno pratio rad i način zastupanja i na osnovu toga dala ocjena kvaliteta, pa tek onda u skladu sa tim isplatila nagrada. </w:t>
      </w:r>
    </w:p>
    <w:p w:rsidR="007715E0" w:rsidRDefault="007715E0" w:rsidP="007715E0">
      <w:pPr>
        <w:pStyle w:val="ListParagraph"/>
        <w:ind w:left="0"/>
      </w:pPr>
    </w:p>
    <w:p w:rsidR="007715E0" w:rsidRDefault="007715E0" w:rsidP="002924DE">
      <w:pPr>
        <w:numPr>
          <w:ilvl w:val="0"/>
          <w:numId w:val="2"/>
        </w:numPr>
        <w:spacing w:after="0" w:line="240" w:lineRule="auto"/>
        <w:rPr>
          <w:b/>
        </w:rPr>
      </w:pPr>
      <w:r>
        <w:rPr>
          <w:b/>
        </w:rPr>
        <w:t>Re</w:t>
      </w:r>
      <w:r w:rsidRPr="001C6AFF">
        <w:rPr>
          <w:b/>
        </w:rPr>
        <w:t xml:space="preserve">gionalna </w:t>
      </w:r>
      <w:r>
        <w:rPr>
          <w:b/>
        </w:rPr>
        <w:t>iskustva</w:t>
      </w:r>
    </w:p>
    <w:p w:rsidR="007715E0" w:rsidRPr="001C6AFF" w:rsidRDefault="007715E0" w:rsidP="007715E0">
      <w:pPr>
        <w:ind w:left="720"/>
        <w:rPr>
          <w:b/>
        </w:rPr>
      </w:pPr>
    </w:p>
    <w:p w:rsidR="007715E0" w:rsidRDefault="007715E0" w:rsidP="007715E0">
      <w:pPr>
        <w:jc w:val="both"/>
      </w:pPr>
      <w:proofErr w:type="gramStart"/>
      <w:r>
        <w:t>Da Crna Gora nije usamljen primjer kada su u pitanju problemi koji se pojavljuju prilikom funkcionisanja sistema službene odbrane, pokazuju nam prakse zemalja iz regiona.</w:t>
      </w:r>
      <w:proofErr w:type="gramEnd"/>
      <w:r>
        <w:t xml:space="preserve"> Naime</w:t>
      </w:r>
      <w:proofErr w:type="gramStart"/>
      <w:r>
        <w:t>,  Helsinški</w:t>
      </w:r>
      <w:proofErr w:type="gramEnd"/>
      <w:r>
        <w:t xml:space="preserve"> komitet za ljudska prava u Republici Srpskoj, u saradnji sa partnerskim organizacijma iz regiona,  nedavno je sproveo istraživanje pod nazivom ”Efikasnost pravne zaštite optuženih u Albaniji, Bosni i </w:t>
      </w:r>
      <w:r>
        <w:lastRenderedPageBreak/>
        <w:t>Hercegovini, Kosovu, Makedoniji i Srbiji”</w:t>
      </w:r>
      <w:r>
        <w:rPr>
          <w:rStyle w:val="FootnoteReference"/>
        </w:rPr>
        <w:footnoteReference w:id="39"/>
      </w:r>
      <w:r>
        <w:t>, sa ciljem da se ocijeni sistem pravne zaštite optuženih i da se utvrdi u čemu su najznačajniji problemi u ovom dijelu. Polaznu osnovu ovog istraživanja predstavlja činjenica da procesi reforme u svih pet zemalja nijesu doveli do očekivanih rezultata i da su neophodne dalje promjene.</w:t>
      </w:r>
    </w:p>
    <w:p w:rsidR="007715E0" w:rsidRDefault="007715E0" w:rsidP="007715E0">
      <w:pPr>
        <w:jc w:val="both"/>
      </w:pPr>
      <w:r>
        <w:t>U tekstu koji slijedi dat je kratki prikaz rezultata pomenutog istraživanja</w:t>
      </w:r>
      <w:proofErr w:type="gramStart"/>
      <w:r>
        <w:t>,  kao</w:t>
      </w:r>
      <w:proofErr w:type="gramEnd"/>
      <w:r>
        <w:t xml:space="preserve"> i ključne preporuke koje sugerišu donosiocima odluka koje mjere bi trebali preduzeti u cilju unapređivanja stanja u ovoj oblasti. Istraživanje je bilo fokusirano na nekoliko aspekata: proces imenovanja branilaca po službenoj dužnosti</w:t>
      </w:r>
      <w:proofErr w:type="gramStart"/>
      <w:r>
        <w:t>,  visine</w:t>
      </w:r>
      <w:proofErr w:type="gramEnd"/>
      <w:r>
        <w:t xml:space="preserve"> advokatskih tarifa, kao i kompetencije branilaca da pruže kvalitetnu odbranu. Istraživanje je sprovedeno paralelno u svih pet zemalja tokom perioda </w:t>
      </w:r>
      <w:proofErr w:type="gramStart"/>
      <w:r>
        <w:t>od</w:t>
      </w:r>
      <w:proofErr w:type="gramEnd"/>
      <w:r>
        <w:t xml:space="preserve"> septembra 2015. – </w:t>
      </w:r>
      <w:proofErr w:type="gramStart"/>
      <w:r>
        <w:t>januara</w:t>
      </w:r>
      <w:proofErr w:type="gramEnd"/>
      <w:r>
        <w:t xml:space="preserve"> 2016. </w:t>
      </w:r>
      <w:proofErr w:type="gramStart"/>
      <w:r>
        <w:t>godine</w:t>
      </w:r>
      <w:proofErr w:type="gramEnd"/>
      <w:r>
        <w:t xml:space="preserve">. </w:t>
      </w:r>
    </w:p>
    <w:p w:rsidR="007715E0" w:rsidRPr="00906472" w:rsidRDefault="007715E0" w:rsidP="007715E0">
      <w:pPr>
        <w:spacing w:before="100" w:beforeAutospacing="1" w:after="100" w:afterAutospacing="1"/>
        <w:jc w:val="both"/>
        <w:rPr>
          <w:lang w:val="sr-Latn-ME" w:eastAsia="sr-Latn-RS"/>
        </w:rPr>
      </w:pPr>
      <w:r>
        <w:t xml:space="preserve">Rezultati analize pokazuju da postoji nezadovoljstvo </w:t>
      </w:r>
      <w:proofErr w:type="gramStart"/>
      <w:r>
        <w:t>sa</w:t>
      </w:r>
      <w:proofErr w:type="gramEnd"/>
      <w:r>
        <w:t xml:space="preserve"> funkcionisanjem sistema službene odbrane u svih pet zemalja obuhvaćenih istraživanjem. Najznačajniji</w:t>
      </w:r>
      <w:r w:rsidRPr="00DB3A24">
        <w:t xml:space="preserve"> problem po pitanju zaštite prava optuženog je </w:t>
      </w:r>
      <w:r>
        <w:t>procedura imenovanja</w:t>
      </w:r>
      <w:r w:rsidRPr="00DB3A24">
        <w:t xml:space="preserve"> advokata po službenoj dužnosti.</w:t>
      </w:r>
      <w:r>
        <w:t>Naime,</w:t>
      </w:r>
      <w:r w:rsidRPr="00DB3A24">
        <w:t xml:space="preserve"> </w:t>
      </w:r>
      <w:r>
        <w:t>postojeća zakonska rješenja ne garantuju pravičnu raspodjelu odbrana po službenoj dužnosti među advokatima sa liste koju sačinjava Advokatska komora</w:t>
      </w:r>
      <w:proofErr w:type="gramStart"/>
      <w:r>
        <w:t>,  Nepostojanje</w:t>
      </w:r>
      <w:proofErr w:type="gramEnd"/>
      <w:r>
        <w:t xml:space="preserve"> transparetne procedure postavljanja branilaca dovodi do toga da je  u praksi je teško obezbijediti da se poštuje redosled sa Liste, i to dozvoljava </w:t>
      </w:r>
      <w:r w:rsidRPr="00DB3A24">
        <w:t>značajan nivo korupcije i ozbiljno ugrožava prava optuženog</w:t>
      </w:r>
      <w:r>
        <w:t>.</w:t>
      </w:r>
      <w:r w:rsidRPr="004E20CF">
        <w:t xml:space="preserve"> </w:t>
      </w:r>
      <w:r>
        <w:t xml:space="preserve"> </w:t>
      </w:r>
      <w:proofErr w:type="gramStart"/>
      <w:r>
        <w:t>Takva praksa pokazuje privilegovanje određenih branioca, i postojanje onih branilaca koji nikada nijesu bili angažovani kao branioci po službenoj dužnosti.</w:t>
      </w:r>
      <w:proofErr w:type="gramEnd"/>
      <w:r>
        <w:t xml:space="preserve"> </w:t>
      </w:r>
      <w:proofErr w:type="gramStart"/>
      <w:r>
        <w:t>Isto tako, u većini slučajeva, po preovlađujućem mišljenju advokata, službena odbrana se vidi kao procesna pretpostavka da bi suđenje moglo početi.</w:t>
      </w:r>
      <w:proofErr w:type="gramEnd"/>
      <w:r>
        <w:t xml:space="preserve"> To dovodi do toga da izabrani branioci veoma često nemaju dovoljno vremena da bi pripremili kvalitetnu odbranu za svog </w:t>
      </w:r>
      <w:proofErr w:type="gramStart"/>
      <w:r>
        <w:t>klijenta  jer</w:t>
      </w:r>
      <w:proofErr w:type="gramEnd"/>
      <w:r>
        <w:t xml:space="preserve"> većina njih odluči da je bolje da u vremenu koje imaju daju sve od sebe i da pripreme odbranu, zato što bi odbijanje dovelo do odlaganja postupka, i realno ne bi mogli očekivati da budu ponovo postvaljeni od nadležnih organa. Stoga, sve to mora da se odrazi i </w:t>
      </w:r>
      <w:proofErr w:type="gramStart"/>
      <w:r>
        <w:t>na</w:t>
      </w:r>
      <w:proofErr w:type="gramEnd"/>
      <w:r>
        <w:t xml:space="preserve"> kvalitet odbrane pružene po službenoj dužnosti. Problem koji utiče </w:t>
      </w:r>
      <w:proofErr w:type="gramStart"/>
      <w:r>
        <w:t>na</w:t>
      </w:r>
      <w:proofErr w:type="gramEnd"/>
      <w:r>
        <w:t xml:space="preserve"> motivisanost branilaca da prihvate odbranu ex officio je umanjena tarifa za ove slučajeve, kao i to da država veoma često kasni sa isplatama.</w:t>
      </w:r>
      <w:r>
        <w:rPr>
          <w:lang w:val="sr-Latn-ME" w:eastAsia="sr-Latn-RS"/>
        </w:rPr>
        <w:t xml:space="preserve"> Primjera radi, u Republici Srbiji,</w:t>
      </w:r>
      <w:r w:rsidRPr="00512545">
        <w:rPr>
          <w:lang w:val="sr-Latn-ME" w:eastAsia="sr-Latn-RS"/>
        </w:rPr>
        <w:t xml:space="preserve"> </w:t>
      </w:r>
      <w:r>
        <w:rPr>
          <w:lang w:val="en-US" w:eastAsia="sr-Latn-RS"/>
        </w:rPr>
        <w:t>t</w:t>
      </w:r>
      <w:r w:rsidRPr="00512545">
        <w:rPr>
          <w:lang w:val="en-US" w:eastAsia="sr-Latn-RS"/>
        </w:rPr>
        <w:t>arifa</w:t>
      </w:r>
      <w:r w:rsidRPr="00512545">
        <w:rPr>
          <w:lang w:val="sr-Latn-ME" w:eastAsia="sr-Latn-RS"/>
        </w:rPr>
        <w:t xml:space="preserve"> </w:t>
      </w:r>
      <w:r w:rsidRPr="00512545">
        <w:rPr>
          <w:lang w:val="en-US" w:eastAsia="sr-Latn-RS"/>
        </w:rPr>
        <w:t>za</w:t>
      </w:r>
      <w:r w:rsidRPr="00512545">
        <w:rPr>
          <w:lang w:val="sr-Latn-ME" w:eastAsia="sr-Latn-RS"/>
        </w:rPr>
        <w:t xml:space="preserve"> </w:t>
      </w:r>
      <w:r w:rsidRPr="00512545">
        <w:rPr>
          <w:lang w:val="en-US" w:eastAsia="sr-Latn-RS"/>
        </w:rPr>
        <w:t>odbrane</w:t>
      </w:r>
      <w:r w:rsidRPr="00512545">
        <w:rPr>
          <w:lang w:val="sr-Latn-ME" w:eastAsia="sr-Latn-RS"/>
        </w:rPr>
        <w:t xml:space="preserve"> </w:t>
      </w:r>
      <w:r w:rsidRPr="00512545">
        <w:rPr>
          <w:lang w:val="en-US" w:eastAsia="sr-Latn-RS"/>
        </w:rPr>
        <w:t>po</w:t>
      </w:r>
      <w:r w:rsidRPr="00512545">
        <w:rPr>
          <w:lang w:val="sr-Latn-ME" w:eastAsia="sr-Latn-RS"/>
        </w:rPr>
        <w:t xml:space="preserve"> </w:t>
      </w:r>
      <w:r w:rsidRPr="00512545">
        <w:rPr>
          <w:lang w:val="en-US" w:eastAsia="sr-Latn-RS"/>
        </w:rPr>
        <w:t>slu</w:t>
      </w:r>
      <w:r w:rsidRPr="00512545">
        <w:rPr>
          <w:lang w:val="sr-Latn-ME" w:eastAsia="sr-Latn-RS"/>
        </w:rPr>
        <w:t>ž</w:t>
      </w:r>
      <w:r w:rsidRPr="00512545">
        <w:rPr>
          <w:lang w:val="en-US" w:eastAsia="sr-Latn-RS"/>
        </w:rPr>
        <w:t>benoj</w:t>
      </w:r>
      <w:r w:rsidRPr="00512545">
        <w:rPr>
          <w:lang w:val="sr-Latn-ME" w:eastAsia="sr-Latn-RS"/>
        </w:rPr>
        <w:t xml:space="preserve"> </w:t>
      </w:r>
      <w:r w:rsidRPr="00512545">
        <w:rPr>
          <w:lang w:val="en-US" w:eastAsia="sr-Latn-RS"/>
        </w:rPr>
        <w:t>du</w:t>
      </w:r>
      <w:r w:rsidRPr="00512545">
        <w:rPr>
          <w:lang w:val="sr-Latn-ME" w:eastAsia="sr-Latn-RS"/>
        </w:rPr>
        <w:t>ž</w:t>
      </w:r>
      <w:r w:rsidRPr="00512545">
        <w:rPr>
          <w:lang w:val="en-US" w:eastAsia="sr-Latn-RS"/>
        </w:rPr>
        <w:t>nosti</w:t>
      </w:r>
      <w:r w:rsidRPr="00512545">
        <w:rPr>
          <w:lang w:val="sr-Latn-ME" w:eastAsia="sr-Latn-RS"/>
        </w:rPr>
        <w:t xml:space="preserve"> </w:t>
      </w:r>
      <w:r w:rsidRPr="00512545">
        <w:rPr>
          <w:lang w:val="en-US" w:eastAsia="sr-Latn-RS"/>
        </w:rPr>
        <w:t>duplo</w:t>
      </w:r>
      <w:r w:rsidRPr="00512545">
        <w:rPr>
          <w:lang w:val="sr-Latn-ME" w:eastAsia="sr-Latn-RS"/>
        </w:rPr>
        <w:t xml:space="preserve"> </w:t>
      </w:r>
      <w:r w:rsidRPr="00512545">
        <w:rPr>
          <w:lang w:val="en-US" w:eastAsia="sr-Latn-RS"/>
        </w:rPr>
        <w:t>je</w:t>
      </w:r>
      <w:r w:rsidRPr="00512545">
        <w:rPr>
          <w:lang w:val="sr-Latn-ME" w:eastAsia="sr-Latn-RS"/>
        </w:rPr>
        <w:t xml:space="preserve"> </w:t>
      </w:r>
      <w:r w:rsidRPr="00512545">
        <w:rPr>
          <w:lang w:val="en-US" w:eastAsia="sr-Latn-RS"/>
        </w:rPr>
        <w:t>manja</w:t>
      </w:r>
      <w:r w:rsidRPr="00512545">
        <w:rPr>
          <w:lang w:val="sr-Latn-ME" w:eastAsia="sr-Latn-RS"/>
        </w:rPr>
        <w:t xml:space="preserve"> </w:t>
      </w:r>
      <w:r w:rsidRPr="00512545">
        <w:rPr>
          <w:lang w:val="en-US" w:eastAsia="sr-Latn-RS"/>
        </w:rPr>
        <w:t>u</w:t>
      </w:r>
      <w:r w:rsidRPr="00512545">
        <w:rPr>
          <w:lang w:val="sr-Latn-ME" w:eastAsia="sr-Latn-RS"/>
        </w:rPr>
        <w:t xml:space="preserve"> </w:t>
      </w:r>
      <w:r w:rsidRPr="00512545">
        <w:rPr>
          <w:lang w:val="en-US" w:eastAsia="sr-Latn-RS"/>
        </w:rPr>
        <w:t>odnosu</w:t>
      </w:r>
      <w:r w:rsidRPr="00512545">
        <w:rPr>
          <w:lang w:val="sr-Latn-ME" w:eastAsia="sr-Latn-RS"/>
        </w:rPr>
        <w:t xml:space="preserve"> </w:t>
      </w:r>
      <w:r w:rsidRPr="00512545">
        <w:rPr>
          <w:lang w:val="en-US" w:eastAsia="sr-Latn-RS"/>
        </w:rPr>
        <w:t>na</w:t>
      </w:r>
      <w:r w:rsidRPr="00512545">
        <w:rPr>
          <w:lang w:val="sr-Latn-ME" w:eastAsia="sr-Latn-RS"/>
        </w:rPr>
        <w:t xml:space="preserve"> </w:t>
      </w:r>
      <w:r w:rsidRPr="00512545">
        <w:rPr>
          <w:lang w:val="en-US" w:eastAsia="sr-Latn-RS"/>
        </w:rPr>
        <w:t>redovne</w:t>
      </w:r>
      <w:r w:rsidRPr="00512545">
        <w:rPr>
          <w:lang w:val="sr-Latn-ME" w:eastAsia="sr-Latn-RS"/>
        </w:rPr>
        <w:t xml:space="preserve"> </w:t>
      </w:r>
      <w:r w:rsidRPr="00512545">
        <w:rPr>
          <w:lang w:val="en-US" w:eastAsia="sr-Latn-RS"/>
        </w:rPr>
        <w:t>naknade</w:t>
      </w:r>
      <w:r w:rsidRPr="00512545">
        <w:rPr>
          <w:lang w:val="sr-Latn-ME" w:eastAsia="sr-Latn-RS"/>
        </w:rPr>
        <w:t xml:space="preserve"> </w:t>
      </w:r>
      <w:r w:rsidRPr="00512545">
        <w:rPr>
          <w:lang w:val="en-US" w:eastAsia="sr-Latn-RS"/>
        </w:rPr>
        <w:t>koje</w:t>
      </w:r>
      <w:r w:rsidRPr="00512545">
        <w:rPr>
          <w:lang w:val="sr-Latn-ME" w:eastAsia="sr-Latn-RS"/>
        </w:rPr>
        <w:t xml:space="preserve"> </w:t>
      </w:r>
      <w:r w:rsidRPr="00512545">
        <w:rPr>
          <w:lang w:val="en-US" w:eastAsia="sr-Latn-RS"/>
        </w:rPr>
        <w:t>advokati</w:t>
      </w:r>
      <w:r w:rsidRPr="00512545">
        <w:rPr>
          <w:lang w:val="sr-Latn-ME" w:eastAsia="sr-Latn-RS"/>
        </w:rPr>
        <w:t xml:space="preserve"> </w:t>
      </w:r>
      <w:r w:rsidRPr="00512545">
        <w:rPr>
          <w:lang w:val="en-US" w:eastAsia="sr-Latn-RS"/>
        </w:rPr>
        <w:t>napla</w:t>
      </w:r>
      <w:r w:rsidRPr="00512545">
        <w:rPr>
          <w:lang w:val="sr-Latn-ME" w:eastAsia="sr-Latn-RS"/>
        </w:rPr>
        <w:t>ć</w:t>
      </w:r>
      <w:r w:rsidRPr="00512545">
        <w:rPr>
          <w:lang w:val="en-US" w:eastAsia="sr-Latn-RS"/>
        </w:rPr>
        <w:t>uju</w:t>
      </w:r>
      <w:r w:rsidRPr="00512545">
        <w:rPr>
          <w:lang w:val="sr-Latn-ME" w:eastAsia="sr-Latn-RS"/>
        </w:rPr>
        <w:t xml:space="preserve"> </w:t>
      </w:r>
      <w:r w:rsidRPr="00512545">
        <w:rPr>
          <w:lang w:val="en-US" w:eastAsia="sr-Latn-RS"/>
        </w:rPr>
        <w:t>za</w:t>
      </w:r>
      <w:r w:rsidRPr="00512545">
        <w:rPr>
          <w:lang w:val="sr-Latn-ME" w:eastAsia="sr-Latn-RS"/>
        </w:rPr>
        <w:t xml:space="preserve"> </w:t>
      </w:r>
      <w:r w:rsidRPr="00512545">
        <w:rPr>
          <w:lang w:val="en-US" w:eastAsia="sr-Latn-RS"/>
        </w:rPr>
        <w:t>svoje</w:t>
      </w:r>
      <w:r w:rsidRPr="00512545">
        <w:rPr>
          <w:lang w:val="sr-Latn-ME" w:eastAsia="sr-Latn-RS"/>
        </w:rPr>
        <w:t xml:space="preserve"> </w:t>
      </w:r>
      <w:r w:rsidRPr="00512545">
        <w:rPr>
          <w:lang w:val="en-US" w:eastAsia="sr-Latn-RS"/>
        </w:rPr>
        <w:t>usluge</w:t>
      </w:r>
      <w:r w:rsidRPr="00512545">
        <w:rPr>
          <w:lang w:val="sr-Latn-ME" w:eastAsia="sr-Latn-RS"/>
        </w:rPr>
        <w:t xml:space="preserve">, </w:t>
      </w:r>
      <w:r w:rsidRPr="00512545">
        <w:rPr>
          <w:lang w:val="en-US" w:eastAsia="sr-Latn-RS"/>
        </w:rPr>
        <w:t>ali</w:t>
      </w:r>
      <w:r w:rsidRPr="00512545">
        <w:rPr>
          <w:lang w:val="sr-Latn-ME" w:eastAsia="sr-Latn-RS"/>
        </w:rPr>
        <w:t xml:space="preserve"> </w:t>
      </w:r>
      <w:r w:rsidRPr="00512545">
        <w:rPr>
          <w:lang w:val="en-US" w:eastAsia="sr-Latn-RS"/>
        </w:rPr>
        <w:t>kako</w:t>
      </w:r>
      <w:r w:rsidRPr="00512545">
        <w:rPr>
          <w:lang w:val="sr-Latn-ME" w:eastAsia="sr-Latn-RS"/>
        </w:rPr>
        <w:t xml:space="preserve"> </w:t>
      </w:r>
      <w:r w:rsidRPr="00512545">
        <w:rPr>
          <w:lang w:val="en-US" w:eastAsia="sr-Latn-RS"/>
        </w:rPr>
        <w:t>ka</w:t>
      </w:r>
      <w:r w:rsidRPr="00512545">
        <w:rPr>
          <w:lang w:val="sr-Latn-ME" w:eastAsia="sr-Latn-RS"/>
        </w:rPr>
        <w:t>ž</w:t>
      </w:r>
      <w:r w:rsidRPr="00512545">
        <w:rPr>
          <w:lang w:val="en-US" w:eastAsia="sr-Latn-RS"/>
        </w:rPr>
        <w:t>u</w:t>
      </w:r>
      <w:r w:rsidRPr="00512545">
        <w:rPr>
          <w:lang w:val="sr-Latn-ME" w:eastAsia="sr-Latn-RS"/>
        </w:rPr>
        <w:t xml:space="preserve"> </w:t>
      </w:r>
      <w:r w:rsidRPr="00512545">
        <w:rPr>
          <w:lang w:val="en-US" w:eastAsia="sr-Latn-RS"/>
        </w:rPr>
        <w:t>sami</w:t>
      </w:r>
      <w:r w:rsidRPr="00512545">
        <w:rPr>
          <w:lang w:val="sr-Latn-ME" w:eastAsia="sr-Latn-RS"/>
        </w:rPr>
        <w:t xml:space="preserve"> </w:t>
      </w:r>
      <w:r w:rsidRPr="00512545">
        <w:rPr>
          <w:lang w:val="en-US" w:eastAsia="sr-Latn-RS"/>
        </w:rPr>
        <w:t>advokati</w:t>
      </w:r>
      <w:r w:rsidRPr="00512545">
        <w:rPr>
          <w:lang w:val="sr-Latn-ME" w:eastAsia="sr-Latn-RS"/>
        </w:rPr>
        <w:t xml:space="preserve"> </w:t>
      </w:r>
      <w:r w:rsidRPr="00512545">
        <w:rPr>
          <w:lang w:val="en-US" w:eastAsia="sr-Latn-RS"/>
        </w:rPr>
        <w:t>ni</w:t>
      </w:r>
      <w:r w:rsidRPr="00512545">
        <w:rPr>
          <w:lang w:val="sr-Latn-ME" w:eastAsia="sr-Latn-RS"/>
        </w:rPr>
        <w:t xml:space="preserve"> </w:t>
      </w:r>
      <w:r w:rsidRPr="00512545">
        <w:rPr>
          <w:lang w:val="en-US" w:eastAsia="sr-Latn-RS"/>
        </w:rPr>
        <w:t>ti</w:t>
      </w:r>
      <w:r w:rsidRPr="00512545">
        <w:rPr>
          <w:lang w:val="sr-Latn-ME" w:eastAsia="sr-Latn-RS"/>
        </w:rPr>
        <w:t xml:space="preserve"> </w:t>
      </w:r>
      <w:r w:rsidRPr="00512545">
        <w:rPr>
          <w:lang w:val="en-US" w:eastAsia="sr-Latn-RS"/>
        </w:rPr>
        <w:t>iznosi</w:t>
      </w:r>
      <w:r w:rsidRPr="00512545">
        <w:rPr>
          <w:lang w:val="sr-Latn-ME" w:eastAsia="sr-Latn-RS"/>
        </w:rPr>
        <w:t xml:space="preserve"> </w:t>
      </w:r>
      <w:r w:rsidRPr="00512545">
        <w:rPr>
          <w:lang w:val="en-US" w:eastAsia="sr-Latn-RS"/>
        </w:rPr>
        <w:t>nisu</w:t>
      </w:r>
      <w:r w:rsidRPr="00512545">
        <w:rPr>
          <w:lang w:val="sr-Latn-ME" w:eastAsia="sr-Latn-RS"/>
        </w:rPr>
        <w:t xml:space="preserve"> </w:t>
      </w:r>
      <w:r w:rsidRPr="00512545">
        <w:rPr>
          <w:lang w:val="en-US" w:eastAsia="sr-Latn-RS"/>
        </w:rPr>
        <w:t>zanemarljivi</w:t>
      </w:r>
      <w:r>
        <w:rPr>
          <w:lang w:val="sr-Latn-ME" w:eastAsia="sr-Latn-RS"/>
        </w:rPr>
        <w:t xml:space="preserve">. </w:t>
      </w:r>
      <w:proofErr w:type="gramStart"/>
      <w:r w:rsidRPr="00512545">
        <w:rPr>
          <w:lang w:val="en-US" w:eastAsia="sr-Latn-RS"/>
        </w:rPr>
        <w:t>Centar</w:t>
      </w:r>
      <w:r w:rsidRPr="00512545">
        <w:rPr>
          <w:lang w:val="sr-Latn-ME" w:eastAsia="sr-Latn-RS"/>
        </w:rPr>
        <w:t xml:space="preserve"> </w:t>
      </w:r>
      <w:r w:rsidRPr="00512545">
        <w:rPr>
          <w:lang w:val="en-US" w:eastAsia="sr-Latn-RS"/>
        </w:rPr>
        <w:t>za</w:t>
      </w:r>
      <w:r w:rsidRPr="00512545">
        <w:rPr>
          <w:lang w:val="sr-Latn-ME" w:eastAsia="sr-Latn-RS"/>
        </w:rPr>
        <w:t xml:space="preserve"> </w:t>
      </w:r>
      <w:r w:rsidRPr="00512545">
        <w:rPr>
          <w:lang w:val="en-US" w:eastAsia="sr-Latn-RS"/>
        </w:rPr>
        <w:t>istra</w:t>
      </w:r>
      <w:r w:rsidRPr="00512545">
        <w:rPr>
          <w:lang w:val="sr-Latn-ME" w:eastAsia="sr-Latn-RS"/>
        </w:rPr>
        <w:t>ž</w:t>
      </w:r>
      <w:r w:rsidRPr="00512545">
        <w:rPr>
          <w:lang w:val="en-US" w:eastAsia="sr-Latn-RS"/>
        </w:rPr>
        <w:t>iva</w:t>
      </w:r>
      <w:r w:rsidRPr="00512545">
        <w:rPr>
          <w:lang w:val="sr-Latn-ME" w:eastAsia="sr-Latn-RS"/>
        </w:rPr>
        <w:t>č</w:t>
      </w:r>
      <w:r w:rsidRPr="00512545">
        <w:rPr>
          <w:lang w:val="en-US" w:eastAsia="sr-Latn-RS"/>
        </w:rPr>
        <w:t>ko</w:t>
      </w:r>
      <w:r w:rsidRPr="00512545">
        <w:rPr>
          <w:lang w:val="sr-Latn-ME" w:eastAsia="sr-Latn-RS"/>
        </w:rPr>
        <w:t xml:space="preserve"> </w:t>
      </w:r>
      <w:r w:rsidRPr="00512545">
        <w:rPr>
          <w:lang w:val="en-US" w:eastAsia="sr-Latn-RS"/>
        </w:rPr>
        <w:t>novinarstvo</w:t>
      </w:r>
      <w:r w:rsidRPr="00512545">
        <w:rPr>
          <w:lang w:val="sr-Latn-ME" w:eastAsia="sr-Latn-RS"/>
        </w:rPr>
        <w:t xml:space="preserve"> </w:t>
      </w:r>
      <w:r w:rsidRPr="00512545">
        <w:rPr>
          <w:lang w:val="en-US" w:eastAsia="sr-Latn-RS"/>
        </w:rPr>
        <w:t>Srbije</w:t>
      </w:r>
      <w:r w:rsidRPr="00512545">
        <w:rPr>
          <w:lang w:val="sr-Latn-ME" w:eastAsia="sr-Latn-RS"/>
        </w:rPr>
        <w:t xml:space="preserve"> </w:t>
      </w:r>
      <w:r w:rsidRPr="00512545">
        <w:rPr>
          <w:lang w:val="en-US" w:eastAsia="sr-Latn-RS"/>
        </w:rPr>
        <w:t>je</w:t>
      </w:r>
      <w:r w:rsidRPr="00512545">
        <w:rPr>
          <w:lang w:val="sr-Latn-ME" w:eastAsia="sr-Latn-RS"/>
        </w:rPr>
        <w:t xml:space="preserve"> </w:t>
      </w:r>
      <w:r w:rsidRPr="00512545">
        <w:rPr>
          <w:lang w:val="en-US" w:eastAsia="sr-Latn-RS"/>
        </w:rPr>
        <w:t>prikupljao</w:t>
      </w:r>
      <w:r w:rsidRPr="00512545">
        <w:rPr>
          <w:lang w:val="sr-Latn-ME" w:eastAsia="sr-Latn-RS"/>
        </w:rPr>
        <w:t xml:space="preserve"> </w:t>
      </w:r>
      <w:r w:rsidRPr="00512545">
        <w:rPr>
          <w:lang w:val="en-US" w:eastAsia="sr-Latn-RS"/>
        </w:rPr>
        <w:t>podatke</w:t>
      </w:r>
      <w:r w:rsidRPr="00512545">
        <w:rPr>
          <w:lang w:val="sr-Latn-ME" w:eastAsia="sr-Latn-RS"/>
        </w:rPr>
        <w:t xml:space="preserve"> </w:t>
      </w:r>
      <w:r w:rsidRPr="00512545">
        <w:rPr>
          <w:lang w:val="en-US" w:eastAsia="sr-Latn-RS"/>
        </w:rPr>
        <w:t>o</w:t>
      </w:r>
      <w:r w:rsidRPr="00512545">
        <w:rPr>
          <w:lang w:val="sr-Latn-ME" w:eastAsia="sr-Latn-RS"/>
        </w:rPr>
        <w:t xml:space="preserve"> </w:t>
      </w:r>
      <w:r w:rsidRPr="00512545">
        <w:rPr>
          <w:lang w:val="en-US" w:eastAsia="sr-Latn-RS"/>
        </w:rPr>
        <w:t>imenovanjima</w:t>
      </w:r>
      <w:r w:rsidRPr="00512545">
        <w:rPr>
          <w:lang w:val="sr-Latn-ME" w:eastAsia="sr-Latn-RS"/>
        </w:rPr>
        <w:t xml:space="preserve"> </w:t>
      </w:r>
      <w:r w:rsidRPr="00512545">
        <w:rPr>
          <w:lang w:val="en-US" w:eastAsia="sr-Latn-RS"/>
        </w:rPr>
        <w:t>i</w:t>
      </w:r>
      <w:r w:rsidRPr="00512545">
        <w:rPr>
          <w:lang w:val="sr-Latn-ME" w:eastAsia="sr-Latn-RS"/>
        </w:rPr>
        <w:t xml:space="preserve"> </w:t>
      </w:r>
      <w:r w:rsidRPr="00512545">
        <w:rPr>
          <w:lang w:val="en-US" w:eastAsia="sr-Latn-RS"/>
        </w:rPr>
        <w:t>zaradama</w:t>
      </w:r>
      <w:r w:rsidRPr="00512545">
        <w:rPr>
          <w:lang w:val="sr-Latn-ME" w:eastAsia="sr-Latn-RS"/>
        </w:rPr>
        <w:t xml:space="preserve"> </w:t>
      </w:r>
      <w:r w:rsidRPr="00512545">
        <w:rPr>
          <w:lang w:val="en-US" w:eastAsia="sr-Latn-RS"/>
        </w:rPr>
        <w:t>branilaca</w:t>
      </w:r>
      <w:r w:rsidRPr="00512545">
        <w:rPr>
          <w:lang w:val="sr-Latn-ME" w:eastAsia="sr-Latn-RS"/>
        </w:rPr>
        <w:t xml:space="preserve"> </w:t>
      </w:r>
      <w:r w:rsidRPr="00512545">
        <w:rPr>
          <w:lang w:val="en-US" w:eastAsia="sr-Latn-RS"/>
        </w:rPr>
        <w:t>po</w:t>
      </w:r>
      <w:r w:rsidRPr="00512545">
        <w:rPr>
          <w:lang w:val="sr-Latn-ME" w:eastAsia="sr-Latn-RS"/>
        </w:rPr>
        <w:t xml:space="preserve"> </w:t>
      </w:r>
      <w:r w:rsidRPr="00512545">
        <w:rPr>
          <w:lang w:val="en-US" w:eastAsia="sr-Latn-RS"/>
        </w:rPr>
        <w:t>slu</w:t>
      </w:r>
      <w:r w:rsidRPr="00512545">
        <w:rPr>
          <w:lang w:val="sr-Latn-ME" w:eastAsia="sr-Latn-RS"/>
        </w:rPr>
        <w:t>ž</w:t>
      </w:r>
      <w:r w:rsidRPr="00512545">
        <w:rPr>
          <w:lang w:val="en-US" w:eastAsia="sr-Latn-RS"/>
        </w:rPr>
        <w:t>benoj</w:t>
      </w:r>
      <w:r w:rsidRPr="00512545">
        <w:rPr>
          <w:lang w:val="sr-Latn-ME" w:eastAsia="sr-Latn-RS"/>
        </w:rPr>
        <w:t xml:space="preserve"> </w:t>
      </w:r>
      <w:r w:rsidRPr="00512545">
        <w:rPr>
          <w:lang w:val="en-US" w:eastAsia="sr-Latn-RS"/>
        </w:rPr>
        <w:t>du</w:t>
      </w:r>
      <w:r w:rsidRPr="00512545">
        <w:rPr>
          <w:lang w:val="sr-Latn-ME" w:eastAsia="sr-Latn-RS"/>
        </w:rPr>
        <w:t>ž</w:t>
      </w:r>
      <w:r w:rsidRPr="00512545">
        <w:rPr>
          <w:lang w:val="en-US" w:eastAsia="sr-Latn-RS"/>
        </w:rPr>
        <w:t>nosti</w:t>
      </w:r>
      <w:r w:rsidRPr="00512545">
        <w:rPr>
          <w:lang w:val="sr-Latn-ME" w:eastAsia="sr-Latn-RS"/>
        </w:rPr>
        <w:t>.</w:t>
      </w:r>
      <w:proofErr w:type="gramEnd"/>
      <w:r w:rsidRPr="00512545">
        <w:rPr>
          <w:lang w:val="sr-Latn-ME" w:eastAsia="sr-Latn-RS"/>
        </w:rPr>
        <w:t xml:space="preserve"> </w:t>
      </w:r>
      <w:r w:rsidRPr="00512545">
        <w:rPr>
          <w:lang w:val="en-US" w:eastAsia="sr-Latn-RS"/>
        </w:rPr>
        <w:t>Te</w:t>
      </w:r>
      <w:r w:rsidRPr="00512545">
        <w:rPr>
          <w:lang w:val="sr-Latn-ME" w:eastAsia="sr-Latn-RS"/>
        </w:rPr>
        <w:t xml:space="preserve"> </w:t>
      </w:r>
      <w:r w:rsidRPr="00512545">
        <w:rPr>
          <w:lang w:val="en-US" w:eastAsia="sr-Latn-RS"/>
        </w:rPr>
        <w:t>analize</w:t>
      </w:r>
      <w:r w:rsidRPr="00512545">
        <w:rPr>
          <w:lang w:val="sr-Latn-ME" w:eastAsia="sr-Latn-RS"/>
        </w:rPr>
        <w:t xml:space="preserve"> </w:t>
      </w:r>
      <w:r w:rsidRPr="00512545">
        <w:rPr>
          <w:lang w:val="en-US" w:eastAsia="sr-Latn-RS"/>
        </w:rPr>
        <w:t>pokazuju</w:t>
      </w:r>
      <w:r w:rsidRPr="00512545">
        <w:rPr>
          <w:lang w:val="sr-Latn-ME" w:eastAsia="sr-Latn-RS"/>
        </w:rPr>
        <w:t xml:space="preserve"> </w:t>
      </w:r>
      <w:r w:rsidRPr="00512545">
        <w:rPr>
          <w:lang w:val="en-US" w:eastAsia="sr-Latn-RS"/>
        </w:rPr>
        <w:t>da</w:t>
      </w:r>
      <w:r w:rsidRPr="00512545">
        <w:rPr>
          <w:lang w:val="sr-Latn-ME" w:eastAsia="sr-Latn-RS"/>
        </w:rPr>
        <w:t xml:space="preserve"> </w:t>
      </w:r>
      <w:r w:rsidRPr="00512545">
        <w:rPr>
          <w:lang w:val="en-US" w:eastAsia="sr-Latn-RS"/>
        </w:rPr>
        <w:t>su</w:t>
      </w:r>
      <w:r w:rsidRPr="00512545">
        <w:rPr>
          <w:lang w:val="sr-Latn-ME" w:eastAsia="sr-Latn-RS"/>
        </w:rPr>
        <w:t xml:space="preserve"> </w:t>
      </w:r>
      <w:r w:rsidRPr="00512545">
        <w:rPr>
          <w:lang w:val="en-US" w:eastAsia="sr-Latn-RS"/>
        </w:rPr>
        <w:t>neki</w:t>
      </w:r>
      <w:r w:rsidRPr="00512545">
        <w:rPr>
          <w:lang w:val="sr-Latn-ME" w:eastAsia="sr-Latn-RS"/>
        </w:rPr>
        <w:t xml:space="preserve"> </w:t>
      </w:r>
      <w:r w:rsidRPr="00512545">
        <w:rPr>
          <w:lang w:val="en-US" w:eastAsia="sr-Latn-RS"/>
        </w:rPr>
        <w:t>advokati</w:t>
      </w:r>
      <w:r w:rsidRPr="00512545">
        <w:rPr>
          <w:lang w:val="sr-Latn-ME" w:eastAsia="sr-Latn-RS"/>
        </w:rPr>
        <w:t xml:space="preserve"> </w:t>
      </w:r>
      <w:r w:rsidRPr="00512545">
        <w:rPr>
          <w:lang w:val="en-US" w:eastAsia="sr-Latn-RS"/>
        </w:rPr>
        <w:t>imali</w:t>
      </w:r>
      <w:r w:rsidRPr="00512545">
        <w:rPr>
          <w:lang w:val="sr-Latn-ME" w:eastAsia="sr-Latn-RS"/>
        </w:rPr>
        <w:t xml:space="preserve"> </w:t>
      </w:r>
      <w:r w:rsidRPr="00512545">
        <w:rPr>
          <w:lang w:val="en-US" w:eastAsia="sr-Latn-RS"/>
        </w:rPr>
        <w:t>mnogo</w:t>
      </w:r>
      <w:r w:rsidRPr="00512545">
        <w:rPr>
          <w:lang w:val="sr-Latn-ME" w:eastAsia="sr-Latn-RS"/>
        </w:rPr>
        <w:t xml:space="preserve"> </w:t>
      </w:r>
      <w:r w:rsidRPr="00512545">
        <w:rPr>
          <w:lang w:val="en-US" w:eastAsia="sr-Latn-RS"/>
        </w:rPr>
        <w:t>vi</w:t>
      </w:r>
      <w:r w:rsidRPr="00512545">
        <w:rPr>
          <w:lang w:val="sr-Latn-ME" w:eastAsia="sr-Latn-RS"/>
        </w:rPr>
        <w:t>š</w:t>
      </w:r>
      <w:r w:rsidRPr="00512545">
        <w:rPr>
          <w:lang w:val="en-US" w:eastAsia="sr-Latn-RS"/>
        </w:rPr>
        <w:t>e</w:t>
      </w:r>
      <w:r w:rsidRPr="00512545">
        <w:rPr>
          <w:lang w:val="sr-Latn-ME" w:eastAsia="sr-Latn-RS"/>
        </w:rPr>
        <w:t xml:space="preserve"> </w:t>
      </w:r>
      <w:r w:rsidRPr="00512545">
        <w:rPr>
          <w:lang w:val="en-US" w:eastAsia="sr-Latn-RS"/>
        </w:rPr>
        <w:t>takvih</w:t>
      </w:r>
      <w:r w:rsidRPr="00512545">
        <w:rPr>
          <w:lang w:val="sr-Latn-ME" w:eastAsia="sr-Latn-RS"/>
        </w:rPr>
        <w:t xml:space="preserve"> </w:t>
      </w:r>
      <w:proofErr w:type="gramStart"/>
      <w:r w:rsidRPr="00512545">
        <w:rPr>
          <w:lang w:val="en-US" w:eastAsia="sr-Latn-RS"/>
        </w:rPr>
        <w:t>odbrana</w:t>
      </w:r>
      <w:r w:rsidRPr="00512545">
        <w:rPr>
          <w:lang w:val="sr-Latn-ME" w:eastAsia="sr-Latn-RS"/>
        </w:rPr>
        <w:t xml:space="preserve">  </w:t>
      </w:r>
      <w:r w:rsidRPr="00512545">
        <w:rPr>
          <w:lang w:val="en-US" w:eastAsia="sr-Latn-RS"/>
        </w:rPr>
        <w:t>znatno</w:t>
      </w:r>
      <w:proofErr w:type="gramEnd"/>
      <w:r w:rsidRPr="00512545">
        <w:rPr>
          <w:lang w:val="sr-Latn-ME" w:eastAsia="sr-Latn-RS"/>
        </w:rPr>
        <w:t xml:space="preserve"> </w:t>
      </w:r>
      <w:r w:rsidRPr="00512545">
        <w:rPr>
          <w:lang w:val="en-US" w:eastAsia="sr-Latn-RS"/>
        </w:rPr>
        <w:t>ve</w:t>
      </w:r>
      <w:r w:rsidRPr="00512545">
        <w:rPr>
          <w:lang w:val="sr-Latn-ME" w:eastAsia="sr-Latn-RS"/>
        </w:rPr>
        <w:t>ć</w:t>
      </w:r>
      <w:r w:rsidRPr="00512545">
        <w:rPr>
          <w:lang w:val="en-US" w:eastAsia="sr-Latn-RS"/>
        </w:rPr>
        <w:t>e</w:t>
      </w:r>
      <w:r w:rsidRPr="00512545">
        <w:rPr>
          <w:lang w:val="sr-Latn-ME" w:eastAsia="sr-Latn-RS"/>
        </w:rPr>
        <w:t xml:space="preserve"> </w:t>
      </w:r>
      <w:r w:rsidRPr="00512545">
        <w:rPr>
          <w:lang w:val="en-US" w:eastAsia="sr-Latn-RS"/>
        </w:rPr>
        <w:t>zarade</w:t>
      </w:r>
      <w:r w:rsidRPr="00512545">
        <w:rPr>
          <w:lang w:val="sr-Latn-ME" w:eastAsia="sr-Latn-RS"/>
        </w:rPr>
        <w:t xml:space="preserve"> </w:t>
      </w:r>
      <w:r w:rsidRPr="00512545">
        <w:rPr>
          <w:lang w:val="en-US" w:eastAsia="sr-Latn-RS"/>
        </w:rPr>
        <w:t>od</w:t>
      </w:r>
      <w:r w:rsidRPr="00512545">
        <w:rPr>
          <w:lang w:val="sr-Latn-ME" w:eastAsia="sr-Latn-RS"/>
        </w:rPr>
        <w:t xml:space="preserve"> </w:t>
      </w:r>
      <w:r w:rsidRPr="00512545">
        <w:rPr>
          <w:lang w:val="en-US" w:eastAsia="sr-Latn-RS"/>
        </w:rPr>
        <w:t>drugih</w:t>
      </w:r>
      <w:r w:rsidRPr="00512545">
        <w:rPr>
          <w:lang w:val="sr-Latn-ME" w:eastAsia="sr-Latn-RS"/>
        </w:rPr>
        <w:t xml:space="preserve">, </w:t>
      </w:r>
      <w:r w:rsidRPr="00512545">
        <w:rPr>
          <w:lang w:val="en-US" w:eastAsia="sr-Latn-RS"/>
        </w:rPr>
        <w:t>a</w:t>
      </w:r>
      <w:r w:rsidRPr="00512545">
        <w:rPr>
          <w:lang w:val="sr-Latn-ME" w:eastAsia="sr-Latn-RS"/>
        </w:rPr>
        <w:t xml:space="preserve"> </w:t>
      </w:r>
      <w:r w:rsidRPr="00512545">
        <w:rPr>
          <w:lang w:val="en-US" w:eastAsia="sr-Latn-RS"/>
        </w:rPr>
        <w:t>da</w:t>
      </w:r>
      <w:r w:rsidRPr="00512545">
        <w:rPr>
          <w:lang w:val="sr-Latn-ME" w:eastAsia="sr-Latn-RS"/>
        </w:rPr>
        <w:t xml:space="preserve"> </w:t>
      </w:r>
      <w:r w:rsidRPr="00512545">
        <w:rPr>
          <w:lang w:val="en-US" w:eastAsia="sr-Latn-RS"/>
        </w:rPr>
        <w:t>se</w:t>
      </w:r>
      <w:r w:rsidRPr="00512545">
        <w:rPr>
          <w:lang w:val="sr-Latn-ME" w:eastAsia="sr-Latn-RS"/>
        </w:rPr>
        <w:t xml:space="preserve"> </w:t>
      </w:r>
      <w:r w:rsidRPr="00512545">
        <w:rPr>
          <w:lang w:val="en-US" w:eastAsia="sr-Latn-RS"/>
        </w:rPr>
        <w:t>ne</w:t>
      </w:r>
      <w:r w:rsidRPr="00512545">
        <w:rPr>
          <w:lang w:val="sr-Latn-ME" w:eastAsia="sr-Latn-RS"/>
        </w:rPr>
        <w:t xml:space="preserve"> </w:t>
      </w:r>
      <w:r w:rsidRPr="00512545">
        <w:rPr>
          <w:lang w:val="en-US" w:eastAsia="sr-Latn-RS"/>
        </w:rPr>
        <w:t>po</w:t>
      </w:r>
      <w:r w:rsidRPr="00512545">
        <w:rPr>
          <w:lang w:val="sr-Latn-ME" w:eastAsia="sr-Latn-RS"/>
        </w:rPr>
        <w:t>š</w:t>
      </w:r>
      <w:r w:rsidRPr="00512545">
        <w:rPr>
          <w:lang w:val="en-US" w:eastAsia="sr-Latn-RS"/>
        </w:rPr>
        <w:t>tuje</w:t>
      </w:r>
      <w:r w:rsidRPr="00512545">
        <w:rPr>
          <w:lang w:val="sr-Latn-ME" w:eastAsia="sr-Latn-RS"/>
        </w:rPr>
        <w:t xml:space="preserve"> </w:t>
      </w:r>
      <w:r w:rsidRPr="00512545">
        <w:rPr>
          <w:lang w:val="en-US" w:eastAsia="sr-Latn-RS"/>
        </w:rPr>
        <w:t>uvijek</w:t>
      </w:r>
      <w:r w:rsidRPr="00512545">
        <w:rPr>
          <w:lang w:val="sr-Latn-ME" w:eastAsia="sr-Latn-RS"/>
        </w:rPr>
        <w:t xml:space="preserve"> </w:t>
      </w:r>
      <w:r w:rsidRPr="00512545">
        <w:rPr>
          <w:lang w:val="en-US" w:eastAsia="sr-Latn-RS"/>
        </w:rPr>
        <w:t>ni</w:t>
      </w:r>
      <w:r w:rsidRPr="00512545">
        <w:rPr>
          <w:lang w:val="sr-Latn-ME" w:eastAsia="sr-Latn-RS"/>
        </w:rPr>
        <w:t xml:space="preserve"> </w:t>
      </w:r>
      <w:r w:rsidRPr="00512545">
        <w:rPr>
          <w:lang w:val="en-US" w:eastAsia="sr-Latn-RS"/>
        </w:rPr>
        <w:t>princip</w:t>
      </w:r>
      <w:r w:rsidRPr="00512545">
        <w:rPr>
          <w:lang w:val="sr-Latn-ME" w:eastAsia="sr-Latn-RS"/>
        </w:rPr>
        <w:t xml:space="preserve"> </w:t>
      </w:r>
      <w:r w:rsidRPr="00512545">
        <w:rPr>
          <w:lang w:val="en-US" w:eastAsia="sr-Latn-RS"/>
        </w:rPr>
        <w:t>pozivanja</w:t>
      </w:r>
      <w:r w:rsidRPr="00512545">
        <w:rPr>
          <w:lang w:val="sr-Latn-ME" w:eastAsia="sr-Latn-RS"/>
        </w:rPr>
        <w:t xml:space="preserve"> </w:t>
      </w:r>
      <w:r w:rsidRPr="00512545">
        <w:rPr>
          <w:lang w:val="en-US" w:eastAsia="sr-Latn-RS"/>
        </w:rPr>
        <w:t>po</w:t>
      </w:r>
      <w:r w:rsidRPr="00512545">
        <w:rPr>
          <w:lang w:val="sr-Latn-ME" w:eastAsia="sr-Latn-RS"/>
        </w:rPr>
        <w:t xml:space="preserve"> </w:t>
      </w:r>
      <w:r w:rsidRPr="00512545">
        <w:rPr>
          <w:lang w:val="en-US" w:eastAsia="sr-Latn-RS"/>
        </w:rPr>
        <w:t>redu</w:t>
      </w:r>
      <w:r w:rsidRPr="00512545">
        <w:rPr>
          <w:vertAlign w:val="superscript"/>
          <w:lang w:val="en-US" w:eastAsia="sr-Latn-RS"/>
        </w:rPr>
        <w:footnoteReference w:id="40"/>
      </w:r>
      <w:r w:rsidRPr="00512545">
        <w:rPr>
          <w:lang w:val="sr-Latn-ME" w:eastAsia="sr-Latn-RS"/>
        </w:rPr>
        <w:t>.</w:t>
      </w:r>
    </w:p>
    <w:p w:rsidR="007715E0" w:rsidRDefault="007715E0" w:rsidP="007715E0">
      <w:pPr>
        <w:jc w:val="both"/>
      </w:pPr>
      <w:r>
        <w:t xml:space="preserve">Nadalje, iako postoji obaveza advokata da se stručno usavršavaju, jedino </w:t>
      </w:r>
      <w:proofErr w:type="gramStart"/>
      <w:r>
        <w:t>na</w:t>
      </w:r>
      <w:proofErr w:type="gramEnd"/>
      <w:r>
        <w:t xml:space="preserve"> Kosovu postoji Centar za obuku u okviru Advokatske komore, dok u Bosni i Hercegovini postoji u okviru krivičnih djela ratnih zločina. Ovo su jedine ustanove koje obezbjeđuju stručno usavršavanje advokata u skladu </w:t>
      </w:r>
      <w:proofErr w:type="gramStart"/>
      <w:r>
        <w:t>sa</w:t>
      </w:r>
      <w:proofErr w:type="gramEnd"/>
      <w:r>
        <w:t xml:space="preserve"> međunarodnim obavezama i standardima. Jer optuženi mogu dobiti adekvatnu odbranu jedino ako branioci imaju </w:t>
      </w:r>
      <w:proofErr w:type="gramStart"/>
      <w:r>
        <w:t>dobro</w:t>
      </w:r>
      <w:proofErr w:type="gramEnd"/>
      <w:r>
        <w:t xml:space="preserve"> stručno znanje i praktično iskustvo, zato je razvoj kontinuiranih programa obuke veoma bitan.  </w:t>
      </w:r>
    </w:p>
    <w:p w:rsidR="007715E0" w:rsidRDefault="007715E0" w:rsidP="007715E0">
      <w:pPr>
        <w:jc w:val="both"/>
        <w:rPr>
          <w:b/>
        </w:rPr>
      </w:pPr>
      <w:r>
        <w:rPr>
          <w:b/>
        </w:rPr>
        <w:lastRenderedPageBreak/>
        <w:t xml:space="preserve">5.1. </w:t>
      </w:r>
      <w:r w:rsidRPr="00DB3A24">
        <w:rPr>
          <w:b/>
        </w:rPr>
        <w:t xml:space="preserve">Predlog za poboljšanje </w:t>
      </w:r>
      <w:r>
        <w:rPr>
          <w:b/>
        </w:rPr>
        <w:t xml:space="preserve">sistema službene odbrane u Republici Srbiji </w:t>
      </w:r>
      <w:r w:rsidRPr="00DB3A24">
        <w:rPr>
          <w:b/>
        </w:rPr>
        <w:t>– Policy dokument</w:t>
      </w:r>
    </w:p>
    <w:p w:rsidR="007715E0" w:rsidRDefault="007715E0" w:rsidP="007715E0">
      <w:pPr>
        <w:jc w:val="both"/>
        <w:rPr>
          <w:b/>
        </w:rPr>
      </w:pPr>
    </w:p>
    <w:p w:rsidR="007715E0" w:rsidRDefault="007715E0" w:rsidP="007715E0">
      <w:pPr>
        <w:jc w:val="both"/>
        <w:rPr>
          <w:lang w:val="en-US" w:eastAsia="sr-Latn-RS"/>
        </w:rPr>
      </w:pPr>
      <w:r>
        <w:rPr>
          <w:rFonts w:eastAsia="Calibri"/>
          <w:lang w:val="sr-Latn-ME"/>
        </w:rPr>
        <w:t>U</w:t>
      </w:r>
      <w:r w:rsidRPr="00512545">
        <w:rPr>
          <w:rFonts w:eastAsia="Calibri"/>
          <w:lang w:val="sr-Latn-ME"/>
        </w:rPr>
        <w:t xml:space="preserve"> Republici Srbiji </w:t>
      </w:r>
      <w:r w:rsidRPr="00512545">
        <w:rPr>
          <w:lang w:val="en-US" w:eastAsia="sr-Latn-RS"/>
        </w:rPr>
        <w:t>branioce</w:t>
      </w:r>
      <w:r w:rsidRPr="00512545">
        <w:rPr>
          <w:lang w:val="sr-Latn-ME" w:eastAsia="sr-Latn-RS"/>
        </w:rPr>
        <w:t xml:space="preserve"> </w:t>
      </w:r>
      <w:r w:rsidRPr="00512545">
        <w:rPr>
          <w:lang w:val="en-US" w:eastAsia="sr-Latn-RS"/>
        </w:rPr>
        <w:t>po</w:t>
      </w:r>
      <w:r w:rsidRPr="00512545">
        <w:rPr>
          <w:lang w:val="sr-Latn-ME" w:eastAsia="sr-Latn-RS"/>
        </w:rPr>
        <w:t xml:space="preserve"> </w:t>
      </w:r>
      <w:r w:rsidRPr="00512545">
        <w:rPr>
          <w:lang w:val="en-US" w:eastAsia="sr-Latn-RS"/>
        </w:rPr>
        <w:t>slu</w:t>
      </w:r>
      <w:r w:rsidRPr="00512545">
        <w:rPr>
          <w:lang w:val="sr-Latn-ME" w:eastAsia="sr-Latn-RS"/>
        </w:rPr>
        <w:t>ž</w:t>
      </w:r>
      <w:r w:rsidRPr="00512545">
        <w:rPr>
          <w:lang w:val="en-US" w:eastAsia="sr-Latn-RS"/>
        </w:rPr>
        <w:t>benoj</w:t>
      </w:r>
      <w:r w:rsidRPr="00512545">
        <w:rPr>
          <w:lang w:val="sr-Latn-ME" w:eastAsia="sr-Latn-RS"/>
        </w:rPr>
        <w:t xml:space="preserve"> </w:t>
      </w:r>
      <w:r w:rsidRPr="00512545">
        <w:rPr>
          <w:lang w:val="en-US" w:eastAsia="sr-Latn-RS"/>
        </w:rPr>
        <w:t>du</w:t>
      </w:r>
      <w:r w:rsidRPr="00512545">
        <w:rPr>
          <w:lang w:val="sr-Latn-ME" w:eastAsia="sr-Latn-RS"/>
        </w:rPr>
        <w:t>ž</w:t>
      </w:r>
      <w:r w:rsidRPr="00512545">
        <w:rPr>
          <w:lang w:val="en-US" w:eastAsia="sr-Latn-RS"/>
        </w:rPr>
        <w:t>nosti</w:t>
      </w:r>
      <w:r w:rsidRPr="00512545">
        <w:rPr>
          <w:lang w:val="sr-Latn-ME" w:eastAsia="sr-Latn-RS"/>
        </w:rPr>
        <w:t xml:space="preserve"> </w:t>
      </w:r>
      <w:r w:rsidRPr="00512545">
        <w:rPr>
          <w:lang w:val="en-US" w:eastAsia="sr-Latn-RS"/>
        </w:rPr>
        <w:t>mogu</w:t>
      </w:r>
      <w:r w:rsidRPr="00512545">
        <w:rPr>
          <w:lang w:val="sr-Latn-ME" w:eastAsia="sr-Latn-RS"/>
        </w:rPr>
        <w:t xml:space="preserve"> </w:t>
      </w:r>
      <w:r w:rsidRPr="00512545">
        <w:rPr>
          <w:lang w:val="en-US" w:eastAsia="sr-Latn-RS"/>
        </w:rPr>
        <w:t>imenovati</w:t>
      </w:r>
      <w:r w:rsidRPr="00512545">
        <w:rPr>
          <w:lang w:val="sr-Latn-ME" w:eastAsia="sr-Latn-RS"/>
        </w:rPr>
        <w:t xml:space="preserve"> </w:t>
      </w:r>
      <w:r w:rsidRPr="00512545">
        <w:rPr>
          <w:lang w:val="en-US" w:eastAsia="sr-Latn-RS"/>
        </w:rPr>
        <w:t>sudovi</w:t>
      </w:r>
      <w:r w:rsidRPr="00512545">
        <w:rPr>
          <w:lang w:val="sr-Latn-ME" w:eastAsia="sr-Latn-RS"/>
        </w:rPr>
        <w:t xml:space="preserve">, </w:t>
      </w:r>
      <w:r w:rsidRPr="00512545">
        <w:rPr>
          <w:lang w:val="en-US" w:eastAsia="sr-Latn-RS"/>
        </w:rPr>
        <w:t>tu</w:t>
      </w:r>
      <w:r w:rsidRPr="00512545">
        <w:rPr>
          <w:lang w:val="sr-Latn-ME" w:eastAsia="sr-Latn-RS"/>
        </w:rPr>
        <w:t>ž</w:t>
      </w:r>
      <w:r w:rsidRPr="00512545">
        <w:rPr>
          <w:lang w:val="en-US" w:eastAsia="sr-Latn-RS"/>
        </w:rPr>
        <w:t>ila</w:t>
      </w:r>
      <w:r w:rsidRPr="00512545">
        <w:rPr>
          <w:lang w:val="sr-Latn-ME" w:eastAsia="sr-Latn-RS"/>
        </w:rPr>
        <w:t>š</w:t>
      </w:r>
      <w:r w:rsidRPr="00512545">
        <w:rPr>
          <w:lang w:val="en-US" w:eastAsia="sr-Latn-RS"/>
        </w:rPr>
        <w:t>tva</w:t>
      </w:r>
      <w:r w:rsidRPr="00512545">
        <w:rPr>
          <w:lang w:val="sr-Latn-ME" w:eastAsia="sr-Latn-RS"/>
        </w:rPr>
        <w:t xml:space="preserve"> </w:t>
      </w:r>
      <w:r w:rsidRPr="00512545">
        <w:rPr>
          <w:lang w:val="en-US" w:eastAsia="sr-Latn-RS"/>
        </w:rPr>
        <w:t>i</w:t>
      </w:r>
      <w:r w:rsidRPr="00512545">
        <w:rPr>
          <w:lang w:val="sr-Latn-ME" w:eastAsia="sr-Latn-RS"/>
        </w:rPr>
        <w:t xml:space="preserve"> </w:t>
      </w:r>
      <w:r w:rsidRPr="00512545">
        <w:rPr>
          <w:lang w:val="en-US" w:eastAsia="sr-Latn-RS"/>
        </w:rPr>
        <w:t>policija</w:t>
      </w:r>
      <w:r w:rsidRPr="00512545">
        <w:rPr>
          <w:lang w:val="sr-Latn-ME" w:eastAsia="sr-Latn-RS"/>
        </w:rPr>
        <w:t xml:space="preserve"> – </w:t>
      </w:r>
      <w:r w:rsidRPr="00512545">
        <w:rPr>
          <w:lang w:val="en-US" w:eastAsia="sr-Latn-RS"/>
        </w:rPr>
        <w:t>po</w:t>
      </w:r>
      <w:r w:rsidRPr="00512545">
        <w:rPr>
          <w:lang w:val="sr-Latn-ME" w:eastAsia="sr-Latn-RS"/>
        </w:rPr>
        <w:t xml:space="preserve"> </w:t>
      </w:r>
      <w:r w:rsidRPr="00512545">
        <w:rPr>
          <w:lang w:val="en-US" w:eastAsia="sr-Latn-RS"/>
        </w:rPr>
        <w:t>azbu</w:t>
      </w:r>
      <w:r w:rsidRPr="00512545">
        <w:rPr>
          <w:lang w:val="sr-Latn-ME" w:eastAsia="sr-Latn-RS"/>
        </w:rPr>
        <w:t>č</w:t>
      </w:r>
      <w:r w:rsidRPr="00512545">
        <w:rPr>
          <w:lang w:val="en-US" w:eastAsia="sr-Latn-RS"/>
        </w:rPr>
        <w:t>nom</w:t>
      </w:r>
      <w:r w:rsidRPr="00512545">
        <w:rPr>
          <w:lang w:val="sr-Latn-ME" w:eastAsia="sr-Latn-RS"/>
        </w:rPr>
        <w:t xml:space="preserve"> </w:t>
      </w:r>
      <w:r w:rsidRPr="00512545">
        <w:rPr>
          <w:lang w:val="en-US" w:eastAsia="sr-Latn-RS"/>
        </w:rPr>
        <w:t>redu</w:t>
      </w:r>
      <w:r w:rsidRPr="00512545">
        <w:rPr>
          <w:lang w:val="sr-Latn-ME" w:eastAsia="sr-Latn-RS"/>
        </w:rPr>
        <w:t xml:space="preserve"> </w:t>
      </w:r>
      <w:r w:rsidRPr="00512545">
        <w:rPr>
          <w:lang w:val="en-US" w:eastAsia="sr-Latn-RS"/>
        </w:rPr>
        <w:t>sa</w:t>
      </w:r>
      <w:r w:rsidRPr="00512545">
        <w:rPr>
          <w:lang w:val="sr-Latn-ME" w:eastAsia="sr-Latn-RS"/>
        </w:rPr>
        <w:t xml:space="preserve"> </w:t>
      </w:r>
      <w:r w:rsidRPr="00512545">
        <w:rPr>
          <w:lang w:val="en-US" w:eastAsia="sr-Latn-RS"/>
        </w:rPr>
        <w:t>spiskova</w:t>
      </w:r>
      <w:r w:rsidRPr="00512545">
        <w:rPr>
          <w:lang w:val="sr-Latn-ME" w:eastAsia="sr-Latn-RS"/>
        </w:rPr>
        <w:t xml:space="preserve"> </w:t>
      </w:r>
      <w:r w:rsidRPr="00512545">
        <w:rPr>
          <w:lang w:val="en-US" w:eastAsia="sr-Latn-RS"/>
        </w:rPr>
        <w:t>advokata</w:t>
      </w:r>
      <w:r w:rsidRPr="00512545">
        <w:rPr>
          <w:lang w:val="sr-Latn-ME" w:eastAsia="sr-Latn-RS"/>
        </w:rPr>
        <w:t xml:space="preserve"> </w:t>
      </w:r>
      <w:r w:rsidRPr="00512545">
        <w:rPr>
          <w:lang w:val="en-US" w:eastAsia="sr-Latn-RS"/>
        </w:rPr>
        <w:t>koji</w:t>
      </w:r>
      <w:r w:rsidRPr="00512545">
        <w:rPr>
          <w:lang w:val="sr-Latn-ME" w:eastAsia="sr-Latn-RS"/>
        </w:rPr>
        <w:t xml:space="preserve"> </w:t>
      </w:r>
      <w:r w:rsidRPr="00512545">
        <w:rPr>
          <w:lang w:val="en-US" w:eastAsia="sr-Latn-RS"/>
        </w:rPr>
        <w:t>su</w:t>
      </w:r>
      <w:r w:rsidRPr="00512545">
        <w:rPr>
          <w:lang w:val="sr-Latn-ME" w:eastAsia="sr-Latn-RS"/>
        </w:rPr>
        <w:t xml:space="preserve"> </w:t>
      </w:r>
      <w:r w:rsidRPr="00512545">
        <w:rPr>
          <w:lang w:val="en-US" w:eastAsia="sr-Latn-RS"/>
        </w:rPr>
        <w:t>se</w:t>
      </w:r>
      <w:r w:rsidRPr="00512545">
        <w:rPr>
          <w:lang w:val="sr-Latn-ME" w:eastAsia="sr-Latn-RS"/>
        </w:rPr>
        <w:t xml:space="preserve"> </w:t>
      </w:r>
      <w:r w:rsidRPr="00512545">
        <w:rPr>
          <w:lang w:val="en-US" w:eastAsia="sr-Latn-RS"/>
        </w:rPr>
        <w:t>prijavili</w:t>
      </w:r>
      <w:r w:rsidRPr="00512545">
        <w:rPr>
          <w:lang w:val="sr-Latn-ME" w:eastAsia="sr-Latn-RS"/>
        </w:rPr>
        <w:t xml:space="preserve"> </w:t>
      </w:r>
      <w:r w:rsidRPr="00512545">
        <w:rPr>
          <w:lang w:val="en-US" w:eastAsia="sr-Latn-RS"/>
        </w:rPr>
        <w:t>da</w:t>
      </w:r>
      <w:r w:rsidRPr="00512545">
        <w:rPr>
          <w:lang w:val="sr-Latn-ME" w:eastAsia="sr-Latn-RS"/>
        </w:rPr>
        <w:t xml:space="preserve"> </w:t>
      </w:r>
      <w:r w:rsidRPr="00512545">
        <w:rPr>
          <w:lang w:val="en-US" w:eastAsia="sr-Latn-RS"/>
        </w:rPr>
        <w:t>rade</w:t>
      </w:r>
      <w:r w:rsidRPr="00512545">
        <w:rPr>
          <w:lang w:val="sr-Latn-ME" w:eastAsia="sr-Latn-RS"/>
        </w:rPr>
        <w:t xml:space="preserve"> </w:t>
      </w:r>
      <w:r w:rsidRPr="00512545">
        <w:rPr>
          <w:lang w:val="en-US" w:eastAsia="sr-Latn-RS"/>
        </w:rPr>
        <w:t>slu</w:t>
      </w:r>
      <w:r w:rsidRPr="00512545">
        <w:rPr>
          <w:lang w:val="sr-Latn-ME" w:eastAsia="sr-Latn-RS"/>
        </w:rPr>
        <w:t>ž</w:t>
      </w:r>
      <w:r w:rsidRPr="00512545">
        <w:rPr>
          <w:lang w:val="en-US" w:eastAsia="sr-Latn-RS"/>
        </w:rPr>
        <w:t>bene</w:t>
      </w:r>
      <w:r w:rsidRPr="00512545">
        <w:rPr>
          <w:lang w:val="sr-Latn-ME" w:eastAsia="sr-Latn-RS"/>
        </w:rPr>
        <w:t xml:space="preserve"> </w:t>
      </w:r>
      <w:r w:rsidRPr="00512545">
        <w:rPr>
          <w:lang w:val="en-US" w:eastAsia="sr-Latn-RS"/>
        </w:rPr>
        <w:t>odbrane</w:t>
      </w:r>
      <w:r w:rsidRPr="00512545">
        <w:rPr>
          <w:lang w:val="sr-Latn-ME" w:eastAsia="sr-Latn-RS"/>
        </w:rPr>
        <w:t xml:space="preserve">. </w:t>
      </w:r>
      <w:proofErr w:type="gramStart"/>
      <w:r w:rsidRPr="00512545">
        <w:rPr>
          <w:lang w:val="en-US" w:eastAsia="sr-Latn-RS"/>
        </w:rPr>
        <w:t>Spisak</w:t>
      </w:r>
      <w:r w:rsidRPr="00512545">
        <w:rPr>
          <w:lang w:val="sr-Latn-ME" w:eastAsia="sr-Latn-RS"/>
        </w:rPr>
        <w:t xml:space="preserve"> </w:t>
      </w:r>
      <w:r w:rsidRPr="00512545">
        <w:rPr>
          <w:lang w:val="en-US" w:eastAsia="sr-Latn-RS"/>
        </w:rPr>
        <w:t>utvr</w:t>
      </w:r>
      <w:r w:rsidRPr="00512545">
        <w:rPr>
          <w:lang w:val="sr-Latn-ME" w:eastAsia="sr-Latn-RS"/>
        </w:rPr>
        <w:t>đ</w:t>
      </w:r>
      <w:r w:rsidRPr="00512545">
        <w:rPr>
          <w:lang w:val="en-US" w:eastAsia="sr-Latn-RS"/>
        </w:rPr>
        <w:t>uje</w:t>
      </w:r>
      <w:r w:rsidRPr="00512545">
        <w:rPr>
          <w:lang w:val="sr-Latn-ME" w:eastAsia="sr-Latn-RS"/>
        </w:rPr>
        <w:t xml:space="preserve"> </w:t>
      </w:r>
      <w:r w:rsidRPr="00512545">
        <w:rPr>
          <w:lang w:val="en-US" w:eastAsia="sr-Latn-RS"/>
        </w:rPr>
        <w:t>nadle</w:t>
      </w:r>
      <w:r w:rsidRPr="00512545">
        <w:rPr>
          <w:lang w:val="sr-Latn-ME" w:eastAsia="sr-Latn-RS"/>
        </w:rPr>
        <w:t>ž</w:t>
      </w:r>
      <w:r w:rsidRPr="00512545">
        <w:rPr>
          <w:lang w:val="en-US" w:eastAsia="sr-Latn-RS"/>
        </w:rPr>
        <w:t>na</w:t>
      </w:r>
      <w:r w:rsidRPr="00512545">
        <w:rPr>
          <w:lang w:val="sr-Latn-ME" w:eastAsia="sr-Latn-RS"/>
        </w:rPr>
        <w:t xml:space="preserve"> </w:t>
      </w:r>
      <w:r w:rsidRPr="00512545">
        <w:rPr>
          <w:lang w:val="en-US" w:eastAsia="sr-Latn-RS"/>
        </w:rPr>
        <w:t>advokatska</w:t>
      </w:r>
      <w:r w:rsidRPr="00512545">
        <w:rPr>
          <w:lang w:val="sr-Latn-ME" w:eastAsia="sr-Latn-RS"/>
        </w:rPr>
        <w:t xml:space="preserve"> </w:t>
      </w:r>
      <w:r w:rsidRPr="00512545">
        <w:rPr>
          <w:lang w:val="en-US" w:eastAsia="sr-Latn-RS"/>
        </w:rPr>
        <w:t>komora</w:t>
      </w:r>
      <w:r>
        <w:rPr>
          <w:lang w:val="en-US" w:eastAsia="sr-Latn-RS"/>
        </w:rPr>
        <w:t>.</w:t>
      </w:r>
      <w:proofErr w:type="gramEnd"/>
      <w:r>
        <w:rPr>
          <w:lang w:val="en-US" w:eastAsia="sr-Latn-RS"/>
        </w:rPr>
        <w:t xml:space="preserve"> </w:t>
      </w:r>
    </w:p>
    <w:p w:rsidR="007715E0" w:rsidRDefault="007715E0" w:rsidP="007715E0">
      <w:pPr>
        <w:jc w:val="both"/>
      </w:pPr>
      <w:r w:rsidRPr="00FE1979">
        <w:t>I</w:t>
      </w:r>
      <w:r>
        <w:t>majući u vidu nabrojane probleme koji ozbiljno dovode u pitanje kvalitet odbrane zastupanja po službenoj dužnosti, a odražavaju se i na ravnomjeran položaj svih advokata,</w:t>
      </w:r>
      <w:r w:rsidRPr="00FE1979">
        <w:t xml:space="preserve"> dokument</w:t>
      </w:r>
      <w:r>
        <w:t xml:space="preserve"> pod nazivom</w:t>
      </w:r>
      <w:proofErr w:type="gramStart"/>
      <w:r>
        <w:t>“</w:t>
      </w:r>
      <w:r w:rsidRPr="008A0FBF">
        <w:rPr>
          <w:b/>
        </w:rPr>
        <w:t xml:space="preserve"> </w:t>
      </w:r>
      <w:r w:rsidRPr="008A0FBF">
        <w:t>Predlog</w:t>
      </w:r>
      <w:proofErr w:type="gramEnd"/>
      <w:r w:rsidRPr="008A0FBF">
        <w:t xml:space="preserve"> za poboljšanje sistema službene odbrane u Republici Srbiji – Policy dokument</w:t>
      </w:r>
      <w:r w:rsidRPr="00FE1979">
        <w:rPr>
          <w:rStyle w:val="FootnoteReference"/>
        </w:rPr>
        <w:t xml:space="preserve"> </w:t>
      </w:r>
      <w:r w:rsidRPr="00FE1979">
        <w:rPr>
          <w:rStyle w:val="FootnoteReference"/>
        </w:rPr>
        <w:footnoteReference w:id="41"/>
      </w:r>
      <w:r>
        <w:t xml:space="preserve"> nudi određena rješenja</w:t>
      </w:r>
      <w:r w:rsidRPr="00FE1979">
        <w:t xml:space="preserve"> za reformu sistema odbrane po službenoj dužnosti u Republici Srbiji. </w:t>
      </w:r>
      <w:proofErr w:type="gramStart"/>
      <w:r w:rsidRPr="00FE1979">
        <w:t>Kao osnovu za donošenje zaključaka i preporuka uzeti su rezulati pomenutog istraživanja u pet zemalja regiona, uključujući Republiku Srbiju.</w:t>
      </w:r>
      <w:proofErr w:type="gramEnd"/>
      <w:r w:rsidRPr="00FE1979">
        <w:t xml:space="preserve"> Kako su </w:t>
      </w:r>
      <w:r>
        <w:t>crnogorskim</w:t>
      </w:r>
      <w:r w:rsidRPr="00FE1979">
        <w:t xml:space="preserve"> zakonskim rješenjima</w:t>
      </w:r>
      <w:r>
        <w:t xml:space="preserve"> u ovom dijelu najsličnija zako</w:t>
      </w:r>
      <w:r w:rsidRPr="00FE1979">
        <w:t>n</w:t>
      </w:r>
      <w:r>
        <w:t>s</w:t>
      </w:r>
      <w:r w:rsidRPr="00FE1979">
        <w:t xml:space="preserve">ka </w:t>
      </w:r>
      <w:proofErr w:type="gramStart"/>
      <w:r w:rsidRPr="00FE1979">
        <w:t xml:space="preserve">rješenja  </w:t>
      </w:r>
      <w:r>
        <w:t>koja</w:t>
      </w:r>
      <w:proofErr w:type="gramEnd"/>
      <w:r>
        <w:t xml:space="preserve"> ima R</w:t>
      </w:r>
      <w:r w:rsidRPr="00FE1979">
        <w:t xml:space="preserve">epublika Srbija, </w:t>
      </w:r>
      <w:r>
        <w:t xml:space="preserve">u narednom dijelu ukazuje se </w:t>
      </w:r>
      <w:r w:rsidRPr="00FE1979">
        <w:t xml:space="preserve"> koja su to najznačajnija rješenja koja nudi </w:t>
      </w:r>
      <w:r>
        <w:t>Policy dokument.</w:t>
      </w:r>
    </w:p>
    <w:p w:rsidR="007715E0" w:rsidRDefault="007715E0" w:rsidP="007715E0">
      <w:pPr>
        <w:jc w:val="both"/>
      </w:pPr>
      <w:r>
        <w:t>Dakle, ovo pitanje zahtije</w:t>
      </w:r>
      <w:r w:rsidRPr="004F314C">
        <w:t>va celokupni skup m</w:t>
      </w:r>
      <w:r>
        <w:t>j</w:t>
      </w:r>
      <w:r w:rsidRPr="004F314C">
        <w:t>era i izm</w:t>
      </w:r>
      <w:r>
        <w:t>j</w:t>
      </w:r>
      <w:r w:rsidRPr="004F314C">
        <w:t>ena u praksi</w:t>
      </w:r>
      <w:r>
        <w:t>, koje</w:t>
      </w:r>
      <w:r w:rsidRPr="004F314C">
        <w:t xml:space="preserve"> </w:t>
      </w:r>
      <w:r>
        <w:t>bi trebalo da</w:t>
      </w:r>
      <w:r w:rsidRPr="004F314C">
        <w:t xml:space="preserve"> </w:t>
      </w:r>
      <w:r>
        <w:t>izvodie</w:t>
      </w:r>
      <w:r w:rsidRPr="004F314C">
        <w:t xml:space="preserve"> sve bitne zainteresovane strane u sistemu</w:t>
      </w:r>
      <w:r>
        <w:t xml:space="preserve">, </w:t>
      </w:r>
      <w:proofErr w:type="gramStart"/>
      <w:r>
        <w:t>te</w:t>
      </w:r>
      <w:proofErr w:type="gramEnd"/>
      <w:r>
        <w:t xml:space="preserve"> je potrebno učiniti sledeće praktične korake:</w:t>
      </w:r>
    </w:p>
    <w:p w:rsidR="007715E0" w:rsidRPr="00D519DD" w:rsidRDefault="007715E0" w:rsidP="002924DE">
      <w:pPr>
        <w:pStyle w:val="ListParagraph"/>
        <w:numPr>
          <w:ilvl w:val="0"/>
          <w:numId w:val="6"/>
        </w:numPr>
        <w:jc w:val="both"/>
        <w:rPr>
          <w:b/>
        </w:rPr>
      </w:pPr>
      <w:r w:rsidRPr="00D519DD">
        <w:rPr>
          <w:b/>
        </w:rPr>
        <w:t xml:space="preserve"> ažurirati spisak advokata po službenoj dužnosti u komorama;</w:t>
      </w:r>
    </w:p>
    <w:p w:rsidR="007715E0" w:rsidRDefault="007715E0" w:rsidP="002924DE">
      <w:pPr>
        <w:pStyle w:val="ListParagraph"/>
        <w:numPr>
          <w:ilvl w:val="0"/>
          <w:numId w:val="6"/>
        </w:numPr>
        <w:jc w:val="both"/>
      </w:pPr>
      <w:r>
        <w:t xml:space="preserve"> </w:t>
      </w:r>
      <w:r w:rsidRPr="003A104E">
        <w:t>inicirati potpisivanje Memoranduma o saradnji sa Visokom savetom sudstva i Visokim savetom tužilaštva o novom načinu izbora advokata po službenoj dužnosti;</w:t>
      </w:r>
    </w:p>
    <w:p w:rsidR="007715E0" w:rsidRDefault="007715E0" w:rsidP="002924DE">
      <w:pPr>
        <w:pStyle w:val="ListParagraph"/>
        <w:numPr>
          <w:ilvl w:val="0"/>
          <w:numId w:val="6"/>
        </w:numPr>
        <w:jc w:val="both"/>
      </w:pPr>
      <w:r>
        <w:t xml:space="preserve"> </w:t>
      </w:r>
      <w:r w:rsidRPr="003A104E">
        <w:t xml:space="preserve">stvoriti pretpostavke za zakonski obavezujuće ugovore sa Visokim savetom sudstva, tužilaštvom i policijom; </w:t>
      </w:r>
    </w:p>
    <w:p w:rsidR="007715E0" w:rsidRPr="00D519DD" w:rsidRDefault="007715E0" w:rsidP="002924DE">
      <w:pPr>
        <w:pStyle w:val="ListParagraph"/>
        <w:numPr>
          <w:ilvl w:val="0"/>
          <w:numId w:val="6"/>
        </w:numPr>
        <w:jc w:val="both"/>
        <w:rPr>
          <w:b/>
        </w:rPr>
      </w:pPr>
      <w:r w:rsidRPr="00D519DD">
        <w:rPr>
          <w:b/>
        </w:rPr>
        <w:t xml:space="preserve"> instalirati softver koji bi mogao da prati angažovanje svih advokata po službenoj dužnosti; ¡ instalirati call centar u komori koji bi mogao da prati sve pozive iz državnih ustanova; ¡ obezbediti permanentni proces monitoringa i analize rada call centra;</w:t>
      </w:r>
    </w:p>
    <w:p w:rsidR="007715E0" w:rsidRDefault="007715E0" w:rsidP="002924DE">
      <w:pPr>
        <w:pStyle w:val="ListParagraph"/>
        <w:numPr>
          <w:ilvl w:val="0"/>
          <w:numId w:val="6"/>
        </w:numPr>
        <w:jc w:val="both"/>
      </w:pPr>
      <w:r>
        <w:t xml:space="preserve"> </w:t>
      </w:r>
      <w:r w:rsidRPr="003A104E">
        <w:t xml:space="preserve">prikaz tarifa za sve zakonske postupke; ¡ promeniti prakse plaćanja advokatima po službenoj dužnosti koja bi mogla da sagleda i uključivanje kamate ili drugog oblika naknade advokatima u slučajevima kašnjenja isplate od strane države; </w:t>
      </w:r>
    </w:p>
    <w:p w:rsidR="007715E0" w:rsidRPr="00D519DD" w:rsidRDefault="007715E0" w:rsidP="002924DE">
      <w:pPr>
        <w:pStyle w:val="ListParagraph"/>
        <w:numPr>
          <w:ilvl w:val="0"/>
          <w:numId w:val="6"/>
        </w:numPr>
        <w:jc w:val="both"/>
        <w:rPr>
          <w:b/>
        </w:rPr>
      </w:pPr>
      <w:proofErr w:type="gramStart"/>
      <w:r w:rsidRPr="00D519DD">
        <w:rPr>
          <w:b/>
        </w:rPr>
        <w:t>puna</w:t>
      </w:r>
      <w:proofErr w:type="gramEnd"/>
      <w:r w:rsidRPr="00D519DD">
        <w:rPr>
          <w:b/>
        </w:rPr>
        <w:t xml:space="preserve"> odgovornost Advokatskih komora za obavezujuću i konitiuniranu obuku i monitoring rada advokata po službenoj dužnosti kada se stvore pretpostavke inicirati izmene Zakonika o krivičnom postupku na osnovu monitoringa i analize funkcionisanja novog sistema izbora advokata po službenoj dužnosti.</w:t>
      </w:r>
    </w:p>
    <w:p w:rsidR="007715E0" w:rsidRDefault="007715E0" w:rsidP="007715E0">
      <w:pPr>
        <w:pStyle w:val="ListParagraph"/>
        <w:jc w:val="both"/>
      </w:pPr>
    </w:p>
    <w:p w:rsidR="007715E0" w:rsidRDefault="007715E0" w:rsidP="007715E0">
      <w:pPr>
        <w:jc w:val="both"/>
      </w:pPr>
      <w:proofErr w:type="gramStart"/>
      <w:r>
        <w:t>Kao n</w:t>
      </w:r>
      <w:r w:rsidRPr="003C45B7">
        <w:t>ajvažniji deo rešenja</w:t>
      </w:r>
      <w:r>
        <w:t xml:space="preserve"> problema navodi se</w:t>
      </w:r>
      <w:r w:rsidRPr="003C45B7">
        <w:t xml:space="preserve"> jačanje uloge advokatske komore.</w:t>
      </w:r>
      <w:proofErr w:type="gramEnd"/>
      <w:r w:rsidRPr="003C45B7">
        <w:t xml:space="preserve"> </w:t>
      </w:r>
      <w:proofErr w:type="gramStart"/>
      <w:r w:rsidRPr="003C45B7">
        <w:t>Na prvom m</w:t>
      </w:r>
      <w:r>
        <w:t>j</w:t>
      </w:r>
      <w:r w:rsidRPr="003C45B7">
        <w:t>estu, treba</w:t>
      </w:r>
      <w:r>
        <w:t>lo</w:t>
      </w:r>
      <w:r w:rsidRPr="003C45B7">
        <w:t xml:space="preserve"> </w:t>
      </w:r>
      <w:r>
        <w:t>bi češće ažurirati</w:t>
      </w:r>
      <w:r w:rsidRPr="003C45B7">
        <w:t xml:space="preserve"> spisak advokata po službenoj dužnosti (više puta godišnje).</w:t>
      </w:r>
      <w:proofErr w:type="gramEnd"/>
      <w:r w:rsidRPr="003C45B7">
        <w:t xml:space="preserve"> </w:t>
      </w:r>
      <w:proofErr w:type="gramStart"/>
      <w:r w:rsidRPr="003C45B7">
        <w:t>Komore bi trebalo da budu sastavni deo ovog procesa i njihova je uloga veoma važna u obezbeđivanju pravednog sistema imenovanja.</w:t>
      </w:r>
      <w:proofErr w:type="gramEnd"/>
      <w:r w:rsidRPr="003C45B7">
        <w:t xml:space="preserve"> </w:t>
      </w:r>
      <w:proofErr w:type="gramStart"/>
      <w:r w:rsidRPr="003C45B7">
        <w:t>Sistem koji obezbeđuje pravično</w:t>
      </w:r>
      <w:r>
        <w:t xml:space="preserve"> postupanje advokata nije važan </w:t>
      </w:r>
      <w:r w:rsidRPr="003C45B7">
        <w:t>samo za same advokate već i za prava optuženog.</w:t>
      </w:r>
      <w:proofErr w:type="gramEnd"/>
      <w:r w:rsidRPr="003C45B7">
        <w:t xml:space="preserve"> Optuženi treba da ima mogućnost da ga pred sudom zastupaju advokati koji su izabrani u pravičnom procesu a ne </w:t>
      </w:r>
      <w:proofErr w:type="gramStart"/>
      <w:r w:rsidRPr="003C45B7">
        <w:t>na</w:t>
      </w:r>
      <w:proofErr w:type="gramEnd"/>
      <w:r w:rsidRPr="003C45B7">
        <w:t xml:space="preserve"> osnovu korupcije. </w:t>
      </w:r>
      <w:proofErr w:type="gramStart"/>
      <w:r w:rsidRPr="003C45B7">
        <w:t>Korumpirani sistem proizvodi niži nivo kvaliteta i ozbiljno ugrožava prava lica koja su deo sudskog postupka.</w:t>
      </w:r>
      <w:proofErr w:type="gramEnd"/>
      <w:r w:rsidRPr="003C45B7">
        <w:t xml:space="preserve"> Takođe uništava </w:t>
      </w:r>
      <w:proofErr w:type="gramStart"/>
      <w:r w:rsidRPr="003C45B7">
        <w:t>ceo sistem</w:t>
      </w:r>
      <w:proofErr w:type="gramEnd"/>
      <w:r w:rsidRPr="003C45B7">
        <w:t xml:space="preserve"> vladavine prava i zaštite ljudskih prava u zemlji.</w:t>
      </w:r>
    </w:p>
    <w:p w:rsidR="007715E0" w:rsidRDefault="007715E0" w:rsidP="007715E0">
      <w:pPr>
        <w:jc w:val="both"/>
      </w:pPr>
    </w:p>
    <w:p w:rsidR="007715E0" w:rsidRPr="003C45B7" w:rsidRDefault="007715E0" w:rsidP="007715E0">
      <w:pPr>
        <w:jc w:val="both"/>
      </w:pPr>
      <w:proofErr w:type="gramStart"/>
      <w:r>
        <w:t>Nadalje, k</w:t>
      </w:r>
      <w:r w:rsidRPr="005606CE">
        <w:t>omore treba da instaliraju softver koji bi evidentirao sve advokate po službenoj dužnosti, uključujući brojeve slučajeva, dotadašnji učinak, uspešnost i sve ostale bitne podatke.</w:t>
      </w:r>
      <w:proofErr w:type="gramEnd"/>
      <w:r w:rsidRPr="005606CE">
        <w:t xml:space="preserve"> </w:t>
      </w:r>
      <w:proofErr w:type="gramStart"/>
      <w:r w:rsidRPr="005606CE">
        <w:t>Softver bi mogao da obezbeđuje nasumičnost u imenovanju advokata.</w:t>
      </w:r>
      <w:proofErr w:type="gramEnd"/>
      <w:r w:rsidRPr="005606CE">
        <w:t xml:space="preserve"> Precizni podaci u softveru pružaju priliku da svi okrivljeni imaju puni pregled mogućih advokata po službenoj dužnosti i da slobodno izaberu </w:t>
      </w:r>
      <w:proofErr w:type="gramStart"/>
      <w:r w:rsidRPr="005606CE">
        <w:t>na</w:t>
      </w:r>
      <w:proofErr w:type="gramEnd"/>
      <w:r w:rsidRPr="005606CE">
        <w:t xml:space="preserve"> osnovu jasnih dokaza rezultata. Advokatska komora u Srbiji je već počela </w:t>
      </w:r>
      <w:proofErr w:type="gramStart"/>
      <w:r w:rsidRPr="005606CE">
        <w:t>sa</w:t>
      </w:r>
      <w:proofErr w:type="gramEnd"/>
      <w:r w:rsidRPr="005606CE">
        <w:t xml:space="preserve"> uvođenjem pozivnih centara koji će primati sve zahteve od policije, tužilaštava i sudova. Na taj način, komora bi mogla da makar kontroliše učestalnost advokata po službenoj dužnosti i da ustanovi ako neke ustanove češće biraju određena imena </w:t>
      </w:r>
      <w:proofErr w:type="gramStart"/>
      <w:r w:rsidRPr="005606CE">
        <w:t>sa</w:t>
      </w:r>
      <w:proofErr w:type="gramEnd"/>
      <w:r w:rsidRPr="005606CE">
        <w:t xml:space="preserve"> spiska advokat</w:t>
      </w:r>
      <w:r>
        <w:rPr>
          <w:rStyle w:val="FootnoteReference"/>
        </w:rPr>
        <w:footnoteReference w:id="42"/>
      </w:r>
      <w:r>
        <w:t>.</w:t>
      </w:r>
    </w:p>
    <w:p w:rsidR="007715E0" w:rsidRPr="00512545" w:rsidRDefault="007715E0" w:rsidP="007715E0">
      <w:pPr>
        <w:jc w:val="both"/>
        <w:rPr>
          <w:rFonts w:eastAsia="Calibri"/>
          <w:b/>
          <w:lang w:val="sr-Latn-ME"/>
        </w:rPr>
      </w:pPr>
    </w:p>
    <w:p w:rsidR="007715E0" w:rsidRDefault="007715E0" w:rsidP="002924DE">
      <w:pPr>
        <w:numPr>
          <w:ilvl w:val="0"/>
          <w:numId w:val="2"/>
        </w:numPr>
        <w:jc w:val="both"/>
        <w:rPr>
          <w:rFonts w:eastAsia="Calibri"/>
          <w:b/>
          <w:lang w:val="sr-Latn-ME"/>
        </w:rPr>
      </w:pPr>
      <w:r w:rsidRPr="00512545">
        <w:rPr>
          <w:rFonts w:eastAsia="Calibri"/>
          <w:b/>
          <w:lang w:val="sr-Latn-ME"/>
        </w:rPr>
        <w:t>Zaključci i preporuke</w:t>
      </w:r>
      <w:r>
        <w:rPr>
          <w:rFonts w:eastAsia="Calibri"/>
          <w:b/>
          <w:lang w:val="sr-Latn-ME"/>
        </w:rPr>
        <w:t xml:space="preserve"> </w:t>
      </w:r>
    </w:p>
    <w:p w:rsidR="004549D6" w:rsidRDefault="004549D6" w:rsidP="004549D6">
      <w:pPr>
        <w:ind w:left="720"/>
        <w:jc w:val="both"/>
        <w:rPr>
          <w:rFonts w:eastAsia="Calibri"/>
          <w:b/>
          <w:lang w:val="sr-Latn-ME"/>
        </w:rPr>
      </w:pPr>
    </w:p>
    <w:p w:rsidR="007715E0" w:rsidRPr="00810EB3" w:rsidRDefault="007715E0" w:rsidP="007715E0">
      <w:pPr>
        <w:jc w:val="both"/>
        <w:rPr>
          <w:rFonts w:eastAsia="Calibri"/>
          <w:lang w:val="sr-Latn-ME"/>
        </w:rPr>
      </w:pPr>
      <w:r w:rsidRPr="00810EB3">
        <w:rPr>
          <w:rFonts w:eastAsia="Calibri"/>
          <w:lang w:val="sr-Latn-ME"/>
        </w:rPr>
        <w:t>Na temelju sprovedenog istraživanja mogu se izvesti sledeći zaključci i preporuke:</w:t>
      </w:r>
    </w:p>
    <w:p w:rsidR="007715E0" w:rsidRDefault="007715E0" w:rsidP="007715E0">
      <w:pPr>
        <w:jc w:val="both"/>
        <w:rPr>
          <w:rFonts w:eastAsia="Calibri"/>
          <w:b/>
          <w:lang w:val="sr-Latn-ME"/>
        </w:rPr>
      </w:pPr>
      <w:r w:rsidRPr="00512545">
        <w:rPr>
          <w:rFonts w:eastAsia="Calibri"/>
          <w:b/>
          <w:lang w:val="sr-Latn-ME"/>
        </w:rPr>
        <w:t>Zaključci:</w:t>
      </w:r>
    </w:p>
    <w:p w:rsidR="007715E0" w:rsidRPr="008B7645" w:rsidRDefault="007715E0" w:rsidP="007715E0">
      <w:pPr>
        <w:ind w:left="720"/>
        <w:jc w:val="both"/>
      </w:pPr>
      <w:r>
        <w:t xml:space="preserve"> </w:t>
      </w:r>
    </w:p>
    <w:p w:rsidR="007715E0" w:rsidRDefault="007715E0" w:rsidP="002924DE">
      <w:pPr>
        <w:numPr>
          <w:ilvl w:val="0"/>
          <w:numId w:val="1"/>
        </w:numPr>
        <w:contextualSpacing/>
        <w:jc w:val="both"/>
        <w:rPr>
          <w:rFonts w:eastAsia="Calibri"/>
          <w:lang w:val="sr-Latn-ME"/>
        </w:rPr>
      </w:pPr>
      <w:r w:rsidRPr="008A34D9">
        <w:rPr>
          <w:rFonts w:eastAsia="Calibri"/>
          <w:lang w:val="sr-Latn-ME"/>
        </w:rPr>
        <w:t>Zbog nepostojanja transparentne procedura prilikom postavljanja branilaca, dolazi do raznih zloupotreba. Ne postoje javno objavljeni podaci o pozivanju, postavljanju branilaca, razlozima odbijanja dužnosti</w:t>
      </w:r>
      <w:r>
        <w:rPr>
          <w:rFonts w:eastAsia="Calibri"/>
          <w:lang w:val="sr-Latn-ME"/>
        </w:rPr>
        <w:t xml:space="preserve">. </w:t>
      </w:r>
      <w:r w:rsidRPr="008A34D9">
        <w:rPr>
          <w:rFonts w:eastAsia="Calibri"/>
          <w:lang w:val="sr-Latn-ME"/>
        </w:rPr>
        <w:t>Ova praksa dovodi do favorizovanja pojedinih advokata i do neravnomjerne raspodjele službenih odbrana među advokatima;</w:t>
      </w:r>
    </w:p>
    <w:p w:rsidR="007715E0" w:rsidRDefault="007715E0" w:rsidP="002924DE">
      <w:pPr>
        <w:numPr>
          <w:ilvl w:val="0"/>
          <w:numId w:val="1"/>
        </w:numPr>
        <w:spacing w:after="0" w:line="240" w:lineRule="auto"/>
        <w:jc w:val="both"/>
      </w:pPr>
      <w:r w:rsidRPr="00512545">
        <w:rPr>
          <w:rFonts w:eastAsia="Calibri"/>
          <w:lang w:val="sr-Latn-ME"/>
        </w:rPr>
        <w:t xml:space="preserve">Rezultati istraživanja pokazuju da se u praksi ne poštuje pravilo ZKP-a o postavljanju  branilaca po redosledu sa spiska Advokatske komore. </w:t>
      </w:r>
      <w:r w:rsidRPr="008B7645">
        <w:t>Kada je riječ o osnovnim sudovima u Crnoj Gori</w:t>
      </w:r>
      <w:r>
        <w:rPr>
          <w:rStyle w:val="FootnoteReference"/>
        </w:rPr>
        <w:footnoteReference w:id="43"/>
      </w:r>
      <w:r w:rsidRPr="008B7645">
        <w:t>, postoji 571 (73%) branilalac koji nije nikada zastupao po službenoj dužnosti, pred višim sudovima je njih ukupno 673(82.2%)</w:t>
      </w:r>
      <w:proofErr w:type="gramStart"/>
      <w:r w:rsidRPr="008B7645">
        <w:t>,dok</w:t>
      </w:r>
      <w:proofErr w:type="gramEnd"/>
      <w:r w:rsidRPr="008B7645">
        <w:t xml:space="preserve"> je pred osnovnim tužilaštvi</w:t>
      </w:r>
      <w:r>
        <w:t>ma taj broj 661(84.6%), a pred V</w:t>
      </w:r>
      <w:r w:rsidRPr="008B7645">
        <w:t xml:space="preserve">išim tužilaštvom u Bijelom Polju i </w:t>
      </w:r>
      <w:r>
        <w:t>Specijalnim tužilaštvom</w:t>
      </w:r>
      <w:r w:rsidRPr="008B7645">
        <w:t xml:space="preserve"> je bilo ukupno </w:t>
      </w:r>
      <w:r>
        <w:t>743</w:t>
      </w:r>
      <w:r w:rsidRPr="008B7645">
        <w:t xml:space="preserve"> (</w:t>
      </w:r>
      <w:r>
        <w:t>95.1</w:t>
      </w:r>
      <w:r w:rsidRPr="008B7645">
        <w:t>%) brani</w:t>
      </w:r>
      <w:r>
        <w:t>oca</w:t>
      </w:r>
      <w:r w:rsidRPr="008B7645">
        <w:t xml:space="preserve"> koji se</w:t>
      </w:r>
      <w:r>
        <w:t xml:space="preserve"> tokom izvještajnog perioda </w:t>
      </w:r>
      <w:r w:rsidRPr="008B7645">
        <w:t xml:space="preserve"> nijesu pojavljivali pred </w:t>
      </w:r>
      <w:r>
        <w:t xml:space="preserve">ovim </w:t>
      </w:r>
      <w:r w:rsidRPr="008B7645">
        <w:t xml:space="preserve">tužilaštvima u svojstvu branioca po službenoj odbrani. </w:t>
      </w:r>
    </w:p>
    <w:p w:rsidR="007715E0" w:rsidRPr="008A34D9" w:rsidRDefault="007715E0" w:rsidP="002924DE">
      <w:pPr>
        <w:numPr>
          <w:ilvl w:val="0"/>
          <w:numId w:val="1"/>
        </w:numPr>
        <w:contextualSpacing/>
        <w:jc w:val="both"/>
        <w:rPr>
          <w:rFonts w:eastAsia="Calibri"/>
          <w:lang w:val="sr-Latn-ME"/>
        </w:rPr>
      </w:pPr>
      <w:r>
        <w:t>Uočen je neravnomjeran odnos među advokatima po pitanju raspodjele službenih odbrana. Postoji određeni broj advokata  koji je tokom izvještajnog perioda postavljan preko dvadeset puta;</w:t>
      </w:r>
    </w:p>
    <w:p w:rsidR="007715E0" w:rsidRPr="00512545" w:rsidRDefault="007715E0" w:rsidP="002924DE">
      <w:pPr>
        <w:numPr>
          <w:ilvl w:val="0"/>
          <w:numId w:val="1"/>
        </w:numPr>
        <w:contextualSpacing/>
        <w:jc w:val="both"/>
        <w:rPr>
          <w:rFonts w:eastAsia="Calibri"/>
          <w:lang w:val="sr-Latn-ME"/>
        </w:rPr>
      </w:pPr>
      <w:r>
        <w:rPr>
          <w:rFonts w:eastAsia="Calibri"/>
          <w:lang w:val="sr-Latn-ME"/>
        </w:rPr>
        <w:t>Praksa telefonskog kontaktiranja branilaca nije dovoljno jasna i ostavlja mogućnosti za zloupotrebe;</w:t>
      </w:r>
    </w:p>
    <w:p w:rsidR="007715E0" w:rsidRPr="00BE0957" w:rsidRDefault="007715E0" w:rsidP="002924DE">
      <w:pPr>
        <w:numPr>
          <w:ilvl w:val="0"/>
          <w:numId w:val="1"/>
        </w:numPr>
        <w:contextualSpacing/>
        <w:rPr>
          <w:rFonts w:eastAsia="Calibri"/>
          <w:lang w:val="sr-Latn-ME"/>
        </w:rPr>
      </w:pPr>
      <w:r w:rsidRPr="00512545">
        <w:rPr>
          <w:rFonts w:eastAsia="Calibri"/>
          <w:lang w:val="sr-Latn-ME"/>
        </w:rPr>
        <w:t xml:space="preserve">Spisak advokata zaduženih za zastupanje po </w:t>
      </w:r>
      <w:r>
        <w:rPr>
          <w:rFonts w:eastAsia="Calibri"/>
          <w:lang w:val="sr-Latn-ME"/>
        </w:rPr>
        <w:t>službenoj odbrani nije javno ob</w:t>
      </w:r>
      <w:r w:rsidRPr="00512545">
        <w:rPr>
          <w:rFonts w:eastAsia="Calibri"/>
          <w:lang w:val="sr-Latn-ME"/>
        </w:rPr>
        <w:t>j</w:t>
      </w:r>
      <w:r>
        <w:rPr>
          <w:rFonts w:eastAsia="Calibri"/>
          <w:lang w:val="sr-Latn-ME"/>
        </w:rPr>
        <w:t>avljen;</w:t>
      </w:r>
    </w:p>
    <w:p w:rsidR="007715E0" w:rsidRDefault="007715E0" w:rsidP="002924DE">
      <w:pPr>
        <w:numPr>
          <w:ilvl w:val="0"/>
          <w:numId w:val="1"/>
        </w:numPr>
        <w:contextualSpacing/>
        <w:jc w:val="both"/>
        <w:rPr>
          <w:rFonts w:eastAsia="Calibri"/>
          <w:lang w:val="sr-Latn-ME"/>
        </w:rPr>
      </w:pPr>
      <w:r w:rsidRPr="00512545">
        <w:rPr>
          <w:rFonts w:eastAsia="Calibri"/>
          <w:lang w:val="sr-Latn-ME"/>
        </w:rPr>
        <w:t xml:space="preserve">Nedovoljna angažovanost pojedinih branilaca u slučaju obavezne odbrane predstavlja negativnu prasku i ugrožava pravo okrivljenih na adekvatnu odbranu; </w:t>
      </w:r>
    </w:p>
    <w:p w:rsidR="007715E0" w:rsidRPr="00512545" w:rsidRDefault="007715E0" w:rsidP="007715E0">
      <w:pPr>
        <w:ind w:left="720"/>
        <w:contextualSpacing/>
        <w:rPr>
          <w:rFonts w:eastAsia="Calibri"/>
          <w:lang w:val="sr-Latn-ME"/>
        </w:rPr>
      </w:pPr>
    </w:p>
    <w:p w:rsidR="007715E0" w:rsidRDefault="007715E0" w:rsidP="007715E0">
      <w:pPr>
        <w:jc w:val="both"/>
        <w:rPr>
          <w:rFonts w:eastAsia="Calibri"/>
          <w:lang w:val="sr-Latn-ME"/>
        </w:rPr>
      </w:pPr>
    </w:p>
    <w:p w:rsidR="004549D6" w:rsidRPr="00512545" w:rsidRDefault="004549D6" w:rsidP="007715E0">
      <w:pPr>
        <w:jc w:val="both"/>
        <w:rPr>
          <w:rFonts w:eastAsia="Calibri"/>
          <w:lang w:val="sr-Latn-ME"/>
        </w:rPr>
      </w:pPr>
    </w:p>
    <w:p w:rsidR="007715E0" w:rsidRPr="00512545" w:rsidRDefault="007715E0" w:rsidP="007715E0">
      <w:pPr>
        <w:jc w:val="both"/>
        <w:rPr>
          <w:rFonts w:eastAsia="Calibri"/>
          <w:b/>
          <w:lang w:val="sr-Latn-ME"/>
        </w:rPr>
      </w:pPr>
      <w:r w:rsidRPr="00512545">
        <w:rPr>
          <w:rFonts w:eastAsia="Calibri"/>
          <w:b/>
          <w:lang w:val="sr-Latn-ME"/>
        </w:rPr>
        <w:lastRenderedPageBreak/>
        <w:t>Preporuke</w:t>
      </w:r>
    </w:p>
    <w:p w:rsidR="007715E0" w:rsidRPr="00512545" w:rsidRDefault="007715E0" w:rsidP="002924DE">
      <w:pPr>
        <w:numPr>
          <w:ilvl w:val="0"/>
          <w:numId w:val="1"/>
        </w:numPr>
        <w:contextualSpacing/>
        <w:jc w:val="both"/>
        <w:rPr>
          <w:rFonts w:eastAsia="Calibri"/>
          <w:lang w:val="sr-Latn-ME"/>
        </w:rPr>
      </w:pPr>
      <w:r w:rsidRPr="00512545">
        <w:rPr>
          <w:rFonts w:eastAsia="Calibri"/>
          <w:lang w:val="sr-Latn-ME"/>
        </w:rPr>
        <w:t xml:space="preserve">Uspostaviti javnu evidenciju o postavljanju advokata, koja bi učinila vidljivim sve podatke </w:t>
      </w:r>
      <w:r>
        <w:rPr>
          <w:rFonts w:eastAsia="Calibri"/>
          <w:lang w:val="sr-Latn-ME"/>
        </w:rPr>
        <w:t>vezane za cjelokupnu proceduru, uključujući podatke o telefonskom pozivanju branilaca, tačno</w:t>
      </w:r>
      <w:r w:rsidRPr="00512545">
        <w:rPr>
          <w:rFonts w:eastAsia="Calibri"/>
          <w:lang w:val="sr-Latn-ME"/>
        </w:rPr>
        <w:t>m vremenom pozivanja, broj</w:t>
      </w:r>
      <w:r>
        <w:rPr>
          <w:rFonts w:eastAsia="Calibri"/>
          <w:lang w:val="sr-Latn-ME"/>
        </w:rPr>
        <w:t>u</w:t>
      </w:r>
      <w:r w:rsidRPr="00512545">
        <w:rPr>
          <w:rFonts w:eastAsia="Calibri"/>
          <w:lang w:val="sr-Latn-ME"/>
        </w:rPr>
        <w:t xml:space="preserve"> upućenih poziva, </w:t>
      </w:r>
      <w:r>
        <w:rPr>
          <w:rFonts w:eastAsia="Calibri"/>
          <w:lang w:val="sr-Latn-ME"/>
        </w:rPr>
        <w:t xml:space="preserve">kao </w:t>
      </w:r>
      <w:r w:rsidRPr="00512545">
        <w:rPr>
          <w:rFonts w:eastAsia="Calibri"/>
          <w:lang w:val="sr-Latn-ME"/>
        </w:rPr>
        <w:t xml:space="preserve"> i razlozima odbijanja. Na ovaj način izvršila bi se izvršila kontrola poštovanja redoleda sa liste Advokatske komore; Ovu kontrolu rada sudova i tužilaštava bi mogla da se vrši preko Ministarstva pravde</w:t>
      </w:r>
      <w:r w:rsidRPr="00512545">
        <w:rPr>
          <w:rFonts w:eastAsia="Calibri"/>
          <w:vertAlign w:val="superscript"/>
          <w:lang w:val="sr-Latn-ME"/>
        </w:rPr>
        <w:footnoteReference w:id="44"/>
      </w:r>
      <w:r w:rsidRPr="00512545">
        <w:rPr>
          <w:rFonts w:eastAsia="Calibri"/>
          <w:lang w:val="sr-Latn-ME"/>
        </w:rPr>
        <w:t>;</w:t>
      </w:r>
      <w:r>
        <w:rPr>
          <w:rFonts w:eastAsia="Calibri"/>
          <w:lang w:val="sr-Latn-ME"/>
        </w:rPr>
        <w:t xml:space="preserve"> Na ovaj način bi se postiglo poštovanje zakoskih rješenja i omogućile bi se ravnomjernije i pravičnije raspodjele službenih odbrana;</w:t>
      </w:r>
    </w:p>
    <w:p w:rsidR="007715E0" w:rsidRPr="00512545" w:rsidRDefault="007715E0" w:rsidP="002924DE">
      <w:pPr>
        <w:numPr>
          <w:ilvl w:val="0"/>
          <w:numId w:val="1"/>
        </w:numPr>
        <w:contextualSpacing/>
        <w:jc w:val="both"/>
        <w:rPr>
          <w:rFonts w:eastAsia="Calibri"/>
          <w:lang w:val="sr-Latn-ME"/>
        </w:rPr>
      </w:pPr>
      <w:r w:rsidRPr="00512545">
        <w:rPr>
          <w:rFonts w:eastAsia="Calibri"/>
          <w:lang w:val="sr-Latn-ME"/>
        </w:rPr>
        <w:t>Razmotriti mogućnost uspostavljanja posebne liste na kojoj bi se nal</w:t>
      </w:r>
      <w:r>
        <w:rPr>
          <w:rFonts w:eastAsia="Calibri"/>
          <w:lang w:val="sr-Latn-ME"/>
        </w:rPr>
        <w:t>a</w:t>
      </w:r>
      <w:r w:rsidRPr="00512545">
        <w:rPr>
          <w:rFonts w:eastAsia="Calibri"/>
          <w:lang w:val="sr-Latn-ME"/>
        </w:rPr>
        <w:t>zili samo oni advokati koji žele da se bave službenom odbranom, ovo posebno imajući u vidu da postoje  advokati koji se bave isključivo građanskim pravom</w:t>
      </w:r>
      <w:r>
        <w:rPr>
          <w:rFonts w:eastAsia="Calibri"/>
          <w:lang w:val="sr-Latn-ME"/>
        </w:rPr>
        <w:t xml:space="preserve">. </w:t>
      </w:r>
      <w:r w:rsidRPr="00512545">
        <w:rPr>
          <w:iCs/>
        </w:rPr>
        <w:t xml:space="preserve">Na taj </w:t>
      </w:r>
      <w:proofErr w:type="gramStart"/>
      <w:r w:rsidRPr="00512545">
        <w:rPr>
          <w:iCs/>
        </w:rPr>
        <w:t>način  bi</w:t>
      </w:r>
      <w:proofErr w:type="gramEnd"/>
      <w:r w:rsidRPr="00512545">
        <w:rPr>
          <w:iCs/>
        </w:rPr>
        <w:t xml:space="preserve"> se preduprijedila situacija da pojedini advokati odbijaju zastupanje jer ne žele da se bave ovom vrstom pružanja usluga. Takođe, na taj način uticalo bi se i na kvalitet odbrane</w:t>
      </w:r>
      <w:r w:rsidRPr="00512545">
        <w:rPr>
          <w:rFonts w:eastAsia="Calibri"/>
          <w:lang w:val="sr-Latn-ME"/>
        </w:rPr>
        <w:t xml:space="preserve">; </w:t>
      </w:r>
    </w:p>
    <w:p w:rsidR="007715E0" w:rsidRDefault="007715E0" w:rsidP="002924DE">
      <w:pPr>
        <w:numPr>
          <w:ilvl w:val="0"/>
          <w:numId w:val="1"/>
        </w:numPr>
        <w:contextualSpacing/>
        <w:jc w:val="both"/>
        <w:rPr>
          <w:rFonts w:eastAsia="Calibri"/>
          <w:lang w:val="sr-Latn-ME"/>
        </w:rPr>
      </w:pPr>
      <w:r>
        <w:rPr>
          <w:rFonts w:eastAsia="Calibri"/>
          <w:lang w:val="sr-Latn-ME"/>
        </w:rPr>
        <w:t>Advokati trebaju</w:t>
      </w:r>
      <w:r w:rsidRPr="00512545">
        <w:rPr>
          <w:rFonts w:eastAsia="Calibri"/>
          <w:lang w:val="sr-Latn-ME"/>
        </w:rPr>
        <w:t xml:space="preserve"> u svim slučajevima zastupanja klijenata da postupaju stručno, savjesno i profesionalno, bez u razlike da li se radi o službenoj odbrani ili su određeni za braniocu po izboru klijenata;</w:t>
      </w:r>
    </w:p>
    <w:p w:rsidR="007715E0" w:rsidRPr="00B865B6" w:rsidRDefault="007715E0" w:rsidP="002924DE">
      <w:pPr>
        <w:numPr>
          <w:ilvl w:val="0"/>
          <w:numId w:val="1"/>
        </w:numPr>
        <w:contextualSpacing/>
        <w:jc w:val="both"/>
        <w:rPr>
          <w:rFonts w:eastAsia="Calibri"/>
          <w:lang w:val="sr-Latn-ME"/>
        </w:rPr>
      </w:pPr>
      <w:r w:rsidRPr="00B865B6">
        <w:rPr>
          <w:rFonts w:eastAsia="Calibri"/>
          <w:lang w:val="sr-Latn-ME"/>
        </w:rPr>
        <w:t>Advokati treba da posvete posebnu pažnju kontinuiranom stručnom usavršavanju svojih znanja i vještina, te u skladu sa tim potrebno je osnaživanje uloge Advokatske komore Crne Gore;</w:t>
      </w:r>
      <w:r w:rsidRPr="00B865B6">
        <w:rPr>
          <w:iCs/>
        </w:rPr>
        <w:t xml:space="preserve"> </w:t>
      </w:r>
    </w:p>
    <w:p w:rsidR="007715E0" w:rsidRPr="00512545" w:rsidRDefault="007715E0" w:rsidP="002924DE">
      <w:pPr>
        <w:numPr>
          <w:ilvl w:val="0"/>
          <w:numId w:val="1"/>
        </w:numPr>
        <w:contextualSpacing/>
        <w:jc w:val="both"/>
        <w:rPr>
          <w:rFonts w:eastAsia="Calibri"/>
          <w:lang w:val="sr-Latn-ME"/>
        </w:rPr>
      </w:pPr>
      <w:r w:rsidRPr="00512545">
        <w:rPr>
          <w:rFonts w:eastAsia="Calibri"/>
          <w:lang w:val="sr-Latn-ME"/>
        </w:rPr>
        <w:t>Sudovi i državna tužilaštva treba da prate rad branilaca i da ukazuju na propuste u njihovom radu, i da ukoliko je potrebno iniciraju razrješenje postavljenog branioca</w:t>
      </w:r>
      <w:r>
        <w:rPr>
          <w:rFonts w:eastAsia="Calibri"/>
          <w:lang w:val="sr-Latn-ME"/>
        </w:rPr>
        <w:t xml:space="preserve"> </w:t>
      </w:r>
      <w:r w:rsidRPr="00512545">
        <w:rPr>
          <w:rFonts w:eastAsia="Calibri"/>
          <w:lang w:val="sr-Latn-ME"/>
        </w:rPr>
        <w:t xml:space="preserve">koji neuredno </w:t>
      </w:r>
      <w:r>
        <w:rPr>
          <w:rFonts w:eastAsia="Calibri"/>
          <w:lang w:val="sr-Latn-ME"/>
        </w:rPr>
        <w:t>vrši svoju dužnost, što je jedna</w:t>
      </w:r>
      <w:r w:rsidRPr="00512545">
        <w:rPr>
          <w:rFonts w:eastAsia="Calibri"/>
          <w:lang w:val="sr-Latn-ME"/>
        </w:rPr>
        <w:t xml:space="preserve"> od mogućnosti predviđenih ZKP-om. Tako bi se uticalo na </w:t>
      </w:r>
      <w:r>
        <w:rPr>
          <w:rFonts w:eastAsia="Calibri"/>
          <w:lang w:val="sr-Latn-ME"/>
        </w:rPr>
        <w:t>kvalitet</w:t>
      </w:r>
      <w:r w:rsidRPr="00512545">
        <w:rPr>
          <w:rFonts w:eastAsia="Calibri"/>
          <w:lang w:val="sr-Latn-ME"/>
        </w:rPr>
        <w:t xml:space="preserve"> ove vrste odbrane. </w:t>
      </w:r>
    </w:p>
    <w:p w:rsidR="007715E0" w:rsidRPr="00512545" w:rsidRDefault="007715E0" w:rsidP="007715E0">
      <w:pPr>
        <w:jc w:val="both"/>
        <w:rPr>
          <w:rFonts w:eastAsia="Calibri"/>
          <w:lang w:val="sr-Latn-ME"/>
        </w:rPr>
      </w:pPr>
    </w:p>
    <w:p w:rsidR="007715E0" w:rsidRPr="00512545" w:rsidRDefault="007715E0" w:rsidP="007715E0">
      <w:pPr>
        <w:contextualSpacing/>
        <w:jc w:val="both"/>
        <w:rPr>
          <w:rFonts w:eastAsia="Calibri"/>
          <w:lang w:val="sr-Latn-ME"/>
        </w:rPr>
      </w:pPr>
    </w:p>
    <w:p w:rsidR="007715E0" w:rsidRPr="008872CA" w:rsidRDefault="007715E0" w:rsidP="007715E0">
      <w:pPr>
        <w:tabs>
          <w:tab w:val="left" w:pos="1596"/>
        </w:tabs>
        <w:jc w:val="both"/>
        <w:rPr>
          <w:rFonts w:eastAsia="Calibri"/>
          <w:lang w:val="sr-Latn-ME"/>
        </w:rPr>
      </w:pPr>
      <w:r w:rsidRPr="00512545">
        <w:rPr>
          <w:rFonts w:eastAsia="Calibri"/>
          <w:lang w:val="sr-Latn-ME"/>
        </w:rPr>
        <w:tab/>
        <w:t xml:space="preserve"> </w:t>
      </w:r>
    </w:p>
    <w:p w:rsidR="004F0F51" w:rsidRDefault="004F0F51" w:rsidP="004F0F51">
      <w:pPr>
        <w:widowControl w:val="0"/>
        <w:tabs>
          <w:tab w:val="left" w:pos="0"/>
          <w:tab w:val="left" w:pos="220"/>
        </w:tabs>
        <w:autoSpaceDE w:val="0"/>
        <w:autoSpaceDN w:val="0"/>
        <w:adjustRightInd w:val="0"/>
        <w:spacing w:after="240"/>
        <w:rPr>
          <w:rFonts w:ascii="Arial" w:hAnsi="Arial" w:cs="Arial"/>
          <w:b/>
          <w:lang w:val="en-US"/>
        </w:rPr>
      </w:pPr>
    </w:p>
    <w:sectPr w:rsidR="004F0F51" w:rsidSect="00D45FDA">
      <w:footerReference w:type="even" r:id="rId28"/>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DE" w:rsidRDefault="002924DE" w:rsidP="007421CD">
      <w:pPr>
        <w:spacing w:after="0" w:line="240" w:lineRule="auto"/>
      </w:pPr>
      <w:r>
        <w:separator/>
      </w:r>
    </w:p>
  </w:endnote>
  <w:endnote w:type="continuationSeparator" w:id="0">
    <w:p w:rsidR="002924DE" w:rsidRDefault="002924DE"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421CD" w:rsidRDefault="00736684"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7421CD" w:rsidRDefault="00736684"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736684" w:rsidRPr="007421CD" w:rsidRDefault="00736684"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599D5238" wp14:editId="03681659">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cs="Times New Roman"/>
        <w:sz w:val="18"/>
        <w:lang w:val="sr-Cyrl-CS"/>
      </w:rPr>
      <w:t>Projekat je podržala EU posredstvom</w:t>
    </w:r>
    <w:r w:rsidRPr="007421CD">
      <w:rPr>
        <w:rFonts w:asciiTheme="majorHAnsi" w:eastAsia="Times New Roman" w:hAnsiTheme="majorHAnsi" w:cs="Times New Roman"/>
        <w:sz w:val="18"/>
        <w:lang w:val="en-US"/>
      </w:rPr>
      <w:t xml:space="preserve"> </w:t>
    </w:r>
    <w:r w:rsidRPr="007421CD">
      <w:rPr>
        <w:rFonts w:asciiTheme="majorHAnsi" w:eastAsia="Times New Roman" w:hAnsiTheme="majorHAnsi" w:cs="Times New Roman"/>
        <w:sz w:val="18"/>
        <w:lang w:val="sr-Cyrl-CS"/>
      </w:rPr>
      <w:t xml:space="preserve">Delegacije Evropske unije u Crnoj Gori </w:t>
    </w:r>
  </w:p>
  <w:p w:rsidR="00736684" w:rsidRDefault="0073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9619"/>
      <w:docPartObj>
        <w:docPartGallery w:val="Page Numbers (Bottom of Page)"/>
        <w:docPartUnique/>
      </w:docPartObj>
    </w:sdtPr>
    <w:sdtEndPr>
      <w:rPr>
        <w:noProof/>
      </w:rPr>
    </w:sdtEndPr>
    <w:sdtContent>
      <w:p w:rsidR="00662176" w:rsidRDefault="00662176">
        <w:pPr>
          <w:pStyle w:val="Footer"/>
          <w:jc w:val="right"/>
        </w:pPr>
        <w:r>
          <w:fldChar w:fldCharType="begin"/>
        </w:r>
        <w:r>
          <w:instrText xml:space="preserve"> PAGE   \* MERGEFORMAT </w:instrText>
        </w:r>
        <w:r>
          <w:fldChar w:fldCharType="separate"/>
        </w:r>
        <w:r w:rsidR="004549D6">
          <w:rPr>
            <w:noProof/>
          </w:rPr>
          <w:t>3</w:t>
        </w:r>
        <w:r>
          <w:rPr>
            <w:noProof/>
          </w:rPr>
          <w:fldChar w:fldCharType="end"/>
        </w:r>
      </w:p>
    </w:sdtContent>
  </w:sdt>
  <w:p w:rsidR="00736684" w:rsidRPr="00F703C9" w:rsidRDefault="00736684" w:rsidP="001A7FAB">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D45FDA" w:rsidRDefault="00736684" w:rsidP="00D45FDA">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D45FDA" w:rsidRDefault="00736684" w:rsidP="00D45FDA">
    <w:pPr>
      <w:tabs>
        <w:tab w:val="center" w:pos="4320"/>
        <w:tab w:val="right" w:pos="8640"/>
      </w:tabs>
      <w:spacing w:after="0" w:line="240" w:lineRule="auto"/>
      <w:ind w:left="1260"/>
      <w:rPr>
        <w:rFonts w:ascii="Arial Narrow" w:eastAsia="Times New Roman" w:hAnsi="Arial Narrow" w:cs="Times New Roman"/>
        <w:sz w:val="19"/>
        <w:szCs w:val="19"/>
        <w:lang w:val="en-US"/>
      </w:rPr>
    </w:pPr>
    <w:r>
      <w:rPr>
        <w:rFonts w:asciiTheme="majorHAnsi" w:eastAsia="Times New Roman" w:hAnsiTheme="majorHAnsi" w:cs="Times New Roman"/>
        <w:noProof/>
        <w:sz w:val="20"/>
        <w:szCs w:val="20"/>
        <w:lang w:val="sr-Latn-ME" w:eastAsia="sr-Latn-ME"/>
      </w:rPr>
      <w:drawing>
        <wp:anchor distT="0" distB="0" distL="114300" distR="114300" simplePos="0" relativeHeight="251677696" behindDoc="1" locked="0" layoutInCell="1" allowOverlap="1" wp14:anchorId="5D1F71D5" wp14:editId="1A5EE208">
          <wp:simplePos x="0" y="0"/>
          <wp:positionH relativeFrom="column">
            <wp:posOffset>4124436</wp:posOffset>
          </wp:positionH>
          <wp:positionV relativeFrom="paragraph">
            <wp:posOffset>55990</wp:posOffset>
          </wp:positionV>
          <wp:extent cx="1590261" cy="628153"/>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261" cy="628153"/>
                  </a:xfrm>
                  <a:prstGeom prst="rect">
                    <a:avLst/>
                  </a:prstGeom>
                  <a:noFill/>
                </pic:spPr>
              </pic:pic>
            </a:graphicData>
          </a:graphic>
          <wp14:sizeRelH relativeFrom="page">
            <wp14:pctWidth>0</wp14:pctWidth>
          </wp14:sizeRelH>
          <wp14:sizeRelV relativeFrom="page">
            <wp14:pctHeight>0</wp14:pctHeight>
          </wp14:sizeRelV>
        </wp:anchor>
      </w:drawing>
    </w:r>
    <w:r w:rsidRPr="006A0632">
      <w:rPr>
        <w:rFonts w:asciiTheme="majorHAnsi" w:eastAsia="Times New Roman" w:hAnsiTheme="majorHAnsi" w:cs="Times New Roman"/>
        <w:noProof/>
        <w:sz w:val="20"/>
        <w:szCs w:val="20"/>
        <w:lang w:val="sr-Latn-ME" w:eastAsia="sr-Latn-ME"/>
      </w:rPr>
      <w:drawing>
        <wp:anchor distT="0" distB="0" distL="114300" distR="114300" simplePos="0" relativeHeight="251676672" behindDoc="1" locked="0" layoutInCell="1" allowOverlap="1" wp14:anchorId="451204BA" wp14:editId="5F4C39C5">
          <wp:simplePos x="0" y="0"/>
          <wp:positionH relativeFrom="column">
            <wp:posOffset>-401320</wp:posOffset>
          </wp:positionH>
          <wp:positionV relativeFrom="paragraph">
            <wp:posOffset>134620</wp:posOffset>
          </wp:positionV>
          <wp:extent cx="640080" cy="367030"/>
          <wp:effectExtent l="0" t="0" r="7620" b="0"/>
          <wp:wrapNone/>
          <wp:docPr id="2" name="Picture 2"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684" w:rsidRPr="00D45FDA" w:rsidRDefault="00736684" w:rsidP="006A0632">
    <w:pPr>
      <w:tabs>
        <w:tab w:val="center" w:pos="4320"/>
        <w:tab w:val="right" w:pos="8640"/>
      </w:tabs>
      <w:spacing w:after="0" w:line="240" w:lineRule="auto"/>
      <w:ind w:left="567" w:right="360"/>
      <w:rPr>
        <w:rFonts w:asciiTheme="majorHAnsi" w:eastAsia="Times New Roman" w:hAnsiTheme="majorHAnsi" w:cs="Times New Roman"/>
        <w:sz w:val="18"/>
        <w:szCs w:val="20"/>
        <w:lang w:val="en-US"/>
      </w:rPr>
    </w:pPr>
    <w:r w:rsidRPr="00D45FDA">
      <w:rPr>
        <w:rFonts w:asciiTheme="majorHAnsi" w:eastAsia="Times New Roman" w:hAnsiTheme="majorHAnsi" w:cs="Times New Roman"/>
        <w:sz w:val="18"/>
        <w:szCs w:val="20"/>
        <w:lang w:val="en-US"/>
      </w:rPr>
      <w:t>“Monitoring reforme pravosuđa”</w:t>
    </w:r>
  </w:p>
  <w:p w:rsidR="00736684" w:rsidRPr="00D45FDA" w:rsidRDefault="00736684" w:rsidP="006A0632">
    <w:pPr>
      <w:tabs>
        <w:tab w:val="left" w:pos="567"/>
        <w:tab w:val="center" w:pos="4320"/>
        <w:tab w:val="right" w:pos="8640"/>
      </w:tabs>
      <w:spacing w:after="0" w:line="240" w:lineRule="auto"/>
      <w:ind w:left="567"/>
      <w:rPr>
        <w:rFonts w:asciiTheme="majorHAnsi" w:eastAsia="Times New Roman" w:hAnsiTheme="majorHAnsi" w:cs="Times New Roman"/>
        <w:sz w:val="18"/>
        <w:szCs w:val="20"/>
        <w:lang w:val="sr-Latn-ME"/>
      </w:rPr>
    </w:pPr>
    <w:r w:rsidRPr="00D45FDA">
      <w:rPr>
        <w:rFonts w:asciiTheme="majorHAnsi" w:eastAsia="Times New Roman" w:hAnsiTheme="majorHAnsi" w:cs="Times New Roman"/>
        <w:sz w:val="18"/>
        <w:szCs w:val="20"/>
        <w:lang w:val="sr-Cyrl-CS"/>
      </w:rPr>
      <w:t>Projekat je podržala EU posredstvom</w:t>
    </w:r>
    <w:r w:rsidRPr="00D45FDA">
      <w:rPr>
        <w:rFonts w:asciiTheme="majorHAnsi" w:eastAsia="Times New Roman" w:hAnsiTheme="majorHAnsi" w:cs="Times New Roman"/>
        <w:sz w:val="18"/>
        <w:szCs w:val="20"/>
        <w:lang w:val="en-US"/>
      </w:rPr>
      <w:t xml:space="preserve"> </w:t>
    </w:r>
    <w:r w:rsidRPr="00D45FDA">
      <w:rPr>
        <w:rFonts w:asciiTheme="majorHAnsi" w:eastAsia="Times New Roman" w:hAnsiTheme="majorHAnsi" w:cs="Times New Roman"/>
        <w:sz w:val="18"/>
        <w:szCs w:val="20"/>
        <w:lang w:val="sr-Cyrl-CS"/>
      </w:rPr>
      <w:t>Delegac</w:t>
    </w:r>
    <w:r w:rsidRPr="006A0632">
      <w:rPr>
        <w:rFonts w:asciiTheme="majorHAnsi" w:eastAsia="Times New Roman" w:hAnsiTheme="majorHAnsi" w:cs="Times New Roman"/>
        <w:sz w:val="18"/>
        <w:szCs w:val="20"/>
        <w:lang w:val="sr-Cyrl-CS"/>
      </w:rPr>
      <w:t>ije Evropske unije u Crnoj Gori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DE" w:rsidRDefault="002924DE" w:rsidP="007421CD">
      <w:pPr>
        <w:spacing w:after="0" w:line="240" w:lineRule="auto"/>
      </w:pPr>
      <w:r>
        <w:separator/>
      </w:r>
    </w:p>
  </w:footnote>
  <w:footnote w:type="continuationSeparator" w:id="0">
    <w:p w:rsidR="002924DE" w:rsidRDefault="002924DE" w:rsidP="007421CD">
      <w:pPr>
        <w:spacing w:after="0" w:line="240" w:lineRule="auto"/>
      </w:pPr>
      <w:r>
        <w:continuationSeparator/>
      </w:r>
    </w:p>
  </w:footnote>
  <w:footnote w:id="1">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Odgovor nekoliko ispitivanih advokata za potrebe ovog istraživanja</w:t>
      </w:r>
    </w:p>
  </w:footnote>
  <w:footnote w:id="2">
    <w:p w:rsidR="007715E0" w:rsidRPr="004549D6" w:rsidRDefault="007715E0" w:rsidP="007715E0">
      <w:pPr>
        <w:pStyle w:val="FootnoteText"/>
        <w:rPr>
          <w:sz w:val="18"/>
          <w:szCs w:val="18"/>
        </w:rPr>
      </w:pPr>
      <w:r w:rsidRPr="004549D6">
        <w:rPr>
          <w:rStyle w:val="FootnoteReference"/>
          <w:sz w:val="18"/>
          <w:szCs w:val="18"/>
        </w:rPr>
        <w:footnoteRef/>
      </w:r>
      <w:r w:rsidRPr="004549D6">
        <w:rPr>
          <w:sz w:val="18"/>
          <w:szCs w:val="18"/>
        </w:rPr>
        <w:t xml:space="preserve"> Zakonik o krivičnom postupku „Službeni list CG broj 57/09, 49/10,47/14, 2/15“</w:t>
      </w:r>
    </w:p>
  </w:footnote>
  <w:footnote w:id="3">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Član 69 ZKP-a „Službeni list CG broj 57/09“</w:t>
      </w:r>
    </w:p>
  </w:footnote>
  <w:footnote w:id="4">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Zakon o advokaturi </w:t>
      </w:r>
      <w:r w:rsidRPr="004549D6">
        <w:rPr>
          <w:color w:val="545454"/>
          <w:sz w:val="18"/>
          <w:szCs w:val="18"/>
        </w:rPr>
        <w:t xml:space="preserve"> </w:t>
      </w:r>
      <w:r w:rsidRPr="004549D6">
        <w:rPr>
          <w:rStyle w:val="st1"/>
          <w:color w:val="545454"/>
          <w:sz w:val="18"/>
          <w:szCs w:val="18"/>
        </w:rPr>
        <w:t>"Službenom listu RCG", br. 79/2006</w:t>
      </w:r>
    </w:p>
  </w:footnote>
  <w:footnote w:id="5">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Kodeks profesionalne etike advokata, broj 1/1- 99, donijela Osnivačka skupština Advokatske komore Jugoslavije</w:t>
      </w:r>
    </w:p>
  </w:footnote>
  <w:footnote w:id="6">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Statut Advokatske komore Crne Gore „Službeni list CG br.34/2005., 50/07 60/2013“ i  70/15</w:t>
      </w:r>
    </w:p>
  </w:footnote>
  <w:footnote w:id="7">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Član 76 st 2 ZKP-a Republike Srbije</w:t>
      </w:r>
    </w:p>
  </w:footnote>
  <w:footnote w:id="8">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Vidjeti više u Policy dokumentu </w:t>
      </w:r>
      <w:r w:rsidRPr="004549D6">
        <w:rPr>
          <w:sz w:val="18"/>
          <w:szCs w:val="18"/>
          <w:lang w:val="sr-Latn-RS"/>
        </w:rPr>
        <w:t>„Unapređenje sistema službene odbrane u Republici Srbiji“</w:t>
      </w:r>
    </w:p>
  </w:footnote>
  <w:footnote w:id="9">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Članovi 87, 88. 89 i 91 Statuta AKCG</w:t>
      </w:r>
    </w:p>
  </w:footnote>
  <w:footnote w:id="10">
    <w:p w:rsidR="007715E0" w:rsidRPr="004549D6" w:rsidRDefault="007715E0" w:rsidP="007715E0">
      <w:pPr>
        <w:tabs>
          <w:tab w:val="left" w:pos="3690"/>
        </w:tabs>
        <w:rPr>
          <w:sz w:val="18"/>
          <w:szCs w:val="18"/>
          <w:lang w:val="sl-SI" w:eastAsia="hr-HR"/>
        </w:rPr>
      </w:pPr>
      <w:r w:rsidRPr="004549D6">
        <w:rPr>
          <w:rStyle w:val="FootnoteReference"/>
          <w:sz w:val="18"/>
          <w:szCs w:val="18"/>
        </w:rPr>
        <w:footnoteRef/>
      </w:r>
      <w:r w:rsidRPr="004549D6">
        <w:rPr>
          <w:sz w:val="18"/>
          <w:szCs w:val="18"/>
        </w:rPr>
        <w:t xml:space="preserve"> </w:t>
      </w:r>
      <w:r w:rsidRPr="004549D6">
        <w:rPr>
          <w:sz w:val="18"/>
          <w:szCs w:val="18"/>
          <w:lang w:val="sl-SI" w:eastAsia="hr-HR"/>
        </w:rPr>
        <w:t>»Sl.list RCG«,br.12/2005, »Sl.list CG«, br.45/2008, »Sl.list CG« br.11/2015)</w:t>
      </w:r>
    </w:p>
  </w:footnote>
  <w:footnote w:id="11">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„Službeni list CG 20/2020“</w:t>
      </w:r>
    </w:p>
  </w:footnote>
  <w:footnote w:id="12">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Univerzalna deklaracija o ljudskim pravima, decembar 1948, Generalna skupština Ujedinjenih cacija</w:t>
      </w:r>
    </w:p>
  </w:footnote>
  <w:footnote w:id="13">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Evropska konvencija o ljudskim pravima, 1950 </w:t>
      </w:r>
    </w:p>
  </w:footnote>
  <w:footnote w:id="14">
    <w:p w:rsidR="007715E0" w:rsidRPr="004549D6" w:rsidRDefault="007715E0" w:rsidP="007715E0">
      <w:pPr>
        <w:pStyle w:val="FootnoteText"/>
        <w:rPr>
          <w:sz w:val="18"/>
          <w:szCs w:val="18"/>
          <w:lang w:val="en-US"/>
        </w:rPr>
      </w:pPr>
      <w:r w:rsidRPr="004549D6">
        <w:rPr>
          <w:rStyle w:val="FootnoteReference"/>
          <w:sz w:val="18"/>
          <w:szCs w:val="18"/>
        </w:rPr>
        <w:footnoteRef/>
      </w:r>
      <w:r w:rsidRPr="004549D6">
        <w:rPr>
          <w:sz w:val="18"/>
          <w:szCs w:val="18"/>
        </w:rPr>
        <w:t xml:space="preserve"> Osnovni principi Ujedinjenih Nacija o ulozi advokata, 1990</w:t>
      </w:r>
    </w:p>
  </w:footnote>
  <w:footnote w:id="15">
    <w:p w:rsidR="007715E0" w:rsidRPr="004549D6" w:rsidRDefault="007715E0" w:rsidP="007715E0">
      <w:pPr>
        <w:pStyle w:val="FootnoteText"/>
        <w:rPr>
          <w:sz w:val="18"/>
          <w:szCs w:val="18"/>
          <w:lang w:val="sr-Latn-RS"/>
        </w:rPr>
      </w:pPr>
      <w:r w:rsidRPr="004549D6">
        <w:rPr>
          <w:rStyle w:val="FootnoteReference"/>
          <w:i/>
          <w:sz w:val="18"/>
          <w:szCs w:val="18"/>
        </w:rPr>
        <w:footnoteRef/>
      </w:r>
      <w:r w:rsidRPr="004549D6">
        <w:rPr>
          <w:i/>
          <w:sz w:val="18"/>
          <w:szCs w:val="18"/>
        </w:rPr>
        <w:t xml:space="preserve"> </w:t>
      </w:r>
      <w:r w:rsidRPr="004549D6">
        <w:rPr>
          <w:i/>
          <w:sz w:val="18"/>
          <w:szCs w:val="18"/>
          <w:lang w:val="sr-Latn-RS"/>
        </w:rPr>
        <w:t>Artico protiv Italije</w:t>
      </w:r>
      <w:r w:rsidRPr="004549D6">
        <w:rPr>
          <w:sz w:val="18"/>
          <w:szCs w:val="18"/>
          <w:lang w:val="sr-Latn-RS"/>
        </w:rPr>
        <w:t xml:space="preserve">, presuda 1980 </w:t>
      </w:r>
    </w:p>
  </w:footnote>
  <w:footnote w:id="16">
    <w:p w:rsidR="007715E0" w:rsidRPr="004549D6" w:rsidRDefault="007715E0" w:rsidP="007715E0">
      <w:pPr>
        <w:pStyle w:val="FootnoteText"/>
        <w:rPr>
          <w:sz w:val="18"/>
          <w:szCs w:val="18"/>
          <w:lang w:val="en-US"/>
        </w:rPr>
      </w:pPr>
      <w:r w:rsidRPr="004549D6">
        <w:rPr>
          <w:rStyle w:val="FootnoteReference"/>
          <w:sz w:val="18"/>
          <w:szCs w:val="18"/>
        </w:rPr>
        <w:footnoteRef/>
      </w:r>
      <w:r w:rsidRPr="004549D6">
        <w:rPr>
          <w:sz w:val="18"/>
          <w:szCs w:val="18"/>
        </w:rPr>
        <w:t xml:space="preserve"> Svi navedeni sudovi i državna tužilaštva su dostavili djelimične </w:t>
      </w:r>
      <w:proofErr w:type="gramStart"/>
      <w:r w:rsidRPr="004549D6">
        <w:rPr>
          <w:sz w:val="18"/>
          <w:szCs w:val="18"/>
        </w:rPr>
        <w:t>informacije ,</w:t>
      </w:r>
      <w:proofErr w:type="gramEnd"/>
      <w:r w:rsidRPr="004549D6">
        <w:rPr>
          <w:sz w:val="18"/>
          <w:szCs w:val="18"/>
        </w:rPr>
        <w:t xml:space="preserve"> dok je Osnovno državno tužilaštvo u Baru odbilo zahtjev za slobodan pristup informaciji u cjelini. </w:t>
      </w:r>
    </w:p>
  </w:footnote>
  <w:footnote w:id="17">
    <w:p w:rsidR="007715E0" w:rsidRPr="004549D6" w:rsidRDefault="007715E0" w:rsidP="007715E0">
      <w:pPr>
        <w:jc w:val="both"/>
        <w:rPr>
          <w:rFonts w:eastAsia="Calibri"/>
          <w:sz w:val="18"/>
          <w:szCs w:val="18"/>
          <w:lang w:val="sr-Latn-ME"/>
        </w:rPr>
      </w:pPr>
      <w:r w:rsidRPr="004549D6">
        <w:rPr>
          <w:rStyle w:val="FootnoteReference"/>
          <w:sz w:val="18"/>
          <w:szCs w:val="18"/>
        </w:rPr>
        <w:footnoteRef/>
      </w:r>
      <w:r w:rsidRPr="004549D6">
        <w:rPr>
          <w:sz w:val="18"/>
          <w:szCs w:val="18"/>
        </w:rPr>
        <w:t xml:space="preserve"> </w:t>
      </w:r>
      <w:r w:rsidRPr="004549D6">
        <w:rPr>
          <w:rFonts w:eastAsia="Calibri"/>
          <w:sz w:val="18"/>
          <w:szCs w:val="18"/>
          <w:lang w:val="sr-Latn-ME"/>
        </w:rPr>
        <w:t xml:space="preserve">U tabelarnom prikazu koji slijedu dat je pregled postavljenja branilaca po sonovnim i višim  sudovima,  uz navođenje njihovih inicijala, broja postvaljenja, kao i ukupnom iznosu isplaćene nagrade.  Bitna napomena je  da su navedenii samo branioci koji imaju više od dva postavljenja za period poslednje dvije godine, jer bi navođenje svih onih branilaca koji su tokom izvještajnog perioda postavljani jednom predstavljalo </w:t>
      </w:r>
      <w:r w:rsidRPr="004549D6">
        <w:rPr>
          <w:rFonts w:eastAsia="Calibri"/>
          <w:color w:val="FF0000"/>
          <w:sz w:val="18"/>
          <w:szCs w:val="18"/>
          <w:lang w:val="sr-Latn-ME"/>
        </w:rPr>
        <w:t>obiman materijal</w:t>
      </w:r>
      <w:r w:rsidRPr="004549D6">
        <w:rPr>
          <w:rFonts w:eastAsia="Calibri"/>
          <w:sz w:val="18"/>
          <w:szCs w:val="18"/>
          <w:lang w:val="sr-Latn-ME"/>
        </w:rPr>
        <w:t xml:space="preserve"> – !!!</w:t>
      </w:r>
    </w:p>
    <w:p w:rsidR="007715E0" w:rsidRPr="004549D6" w:rsidRDefault="007715E0" w:rsidP="007715E0">
      <w:pPr>
        <w:pStyle w:val="FootnoteText"/>
        <w:rPr>
          <w:sz w:val="18"/>
          <w:szCs w:val="18"/>
          <w:lang w:val="en-US"/>
        </w:rPr>
      </w:pPr>
    </w:p>
  </w:footnote>
  <w:footnote w:id="18">
    <w:p w:rsidR="007715E0" w:rsidRPr="004549D6" w:rsidRDefault="007715E0" w:rsidP="007715E0">
      <w:pPr>
        <w:pStyle w:val="FootnoteText"/>
        <w:jc w:val="both"/>
        <w:rPr>
          <w:sz w:val="18"/>
          <w:szCs w:val="18"/>
          <w:lang w:val="en-US"/>
        </w:rPr>
      </w:pPr>
      <w:r w:rsidRPr="004549D6">
        <w:rPr>
          <w:rStyle w:val="FootnoteReference"/>
          <w:sz w:val="18"/>
          <w:szCs w:val="18"/>
        </w:rPr>
        <w:footnoteRef/>
      </w:r>
      <w:r w:rsidRPr="004549D6">
        <w:rPr>
          <w:sz w:val="18"/>
          <w:szCs w:val="18"/>
        </w:rPr>
        <w:t xml:space="preserve"> </w:t>
      </w:r>
      <w:r w:rsidRPr="004549D6">
        <w:rPr>
          <w:sz w:val="18"/>
          <w:szCs w:val="18"/>
          <w:lang w:val="en-US"/>
        </w:rPr>
        <w:t xml:space="preserve">Rješenjem Osnovnog suda u Cetinju </w:t>
      </w:r>
      <w:proofErr w:type="gramStart"/>
      <w:r w:rsidRPr="004549D6">
        <w:rPr>
          <w:sz w:val="18"/>
          <w:szCs w:val="18"/>
          <w:lang w:val="en-US"/>
        </w:rPr>
        <w:t>od</w:t>
      </w:r>
      <w:proofErr w:type="gramEnd"/>
      <w:r w:rsidRPr="004549D6">
        <w:rPr>
          <w:sz w:val="18"/>
          <w:szCs w:val="18"/>
          <w:lang w:val="en-US"/>
        </w:rPr>
        <w:t xml:space="preserve"> 27.12. 2016. </w:t>
      </w:r>
      <w:proofErr w:type="gramStart"/>
      <w:r w:rsidRPr="004549D6">
        <w:rPr>
          <w:sz w:val="18"/>
          <w:szCs w:val="18"/>
          <w:lang w:val="en-US"/>
        </w:rPr>
        <w:t>godine</w:t>
      </w:r>
      <w:proofErr w:type="gramEnd"/>
      <w:r w:rsidRPr="004549D6">
        <w:rPr>
          <w:sz w:val="18"/>
          <w:szCs w:val="18"/>
          <w:lang w:val="en-US"/>
        </w:rPr>
        <w:t xml:space="preserve">, daje se informacija da se dozvoljava pristup informacijama  u posjedu Osnovnog suda u Cetinju, i daje se informacija da je tokom 2015. </w:t>
      </w:r>
      <w:proofErr w:type="gramStart"/>
      <w:r w:rsidRPr="004549D6">
        <w:rPr>
          <w:sz w:val="18"/>
          <w:szCs w:val="18"/>
          <w:lang w:val="en-US"/>
        </w:rPr>
        <w:t>godine</w:t>
      </w:r>
      <w:proofErr w:type="gramEnd"/>
      <w:r w:rsidRPr="004549D6">
        <w:rPr>
          <w:sz w:val="18"/>
          <w:szCs w:val="18"/>
          <w:lang w:val="en-US"/>
        </w:rPr>
        <w:t xml:space="preserve"> postavljeno ukupno 11 branilaca po službenoj dužnosti, dok je tokom 2016. </w:t>
      </w:r>
      <w:proofErr w:type="gramStart"/>
      <w:r w:rsidRPr="004549D6">
        <w:rPr>
          <w:sz w:val="18"/>
          <w:szCs w:val="18"/>
          <w:lang w:val="en-US"/>
        </w:rPr>
        <w:t>godine</w:t>
      </w:r>
      <w:proofErr w:type="gramEnd"/>
      <w:r w:rsidRPr="004549D6">
        <w:rPr>
          <w:sz w:val="18"/>
          <w:szCs w:val="18"/>
          <w:lang w:val="en-US"/>
        </w:rPr>
        <w:t xml:space="preserve"> postavljeno ukupno 4 branioca po službenoj dužnosti. Odbijen je zahtjev za pristup informacijama u dijelu koji se odnosi </w:t>
      </w:r>
      <w:proofErr w:type="gramStart"/>
      <w:r w:rsidRPr="004549D6">
        <w:rPr>
          <w:sz w:val="18"/>
          <w:szCs w:val="18"/>
          <w:lang w:val="en-US"/>
        </w:rPr>
        <w:t>na</w:t>
      </w:r>
      <w:proofErr w:type="gramEnd"/>
      <w:r w:rsidRPr="004549D6">
        <w:rPr>
          <w:sz w:val="18"/>
          <w:szCs w:val="18"/>
          <w:lang w:val="en-US"/>
        </w:rPr>
        <w:t xml:space="preserve"> informaciju o navođenjima imena i prezimena advokata, kao i iznosima isplaćenih nagrada. </w:t>
      </w:r>
    </w:p>
  </w:footnote>
  <w:footnote w:id="19">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Mišljenje većine ispitanih advokata</w:t>
      </w:r>
    </w:p>
  </w:footnote>
  <w:footnote w:id="20">
    <w:p w:rsidR="007715E0" w:rsidRPr="004549D6" w:rsidRDefault="007715E0" w:rsidP="007715E0">
      <w:pPr>
        <w:pStyle w:val="FootnoteText"/>
        <w:jc w:val="both"/>
        <w:rPr>
          <w:sz w:val="18"/>
          <w:szCs w:val="18"/>
          <w:lang w:val="en-US"/>
        </w:rPr>
      </w:pPr>
      <w:r w:rsidRPr="004549D6">
        <w:rPr>
          <w:rStyle w:val="FootnoteReference"/>
          <w:sz w:val="18"/>
          <w:szCs w:val="18"/>
        </w:rPr>
        <w:footnoteRef/>
      </w:r>
      <w:r w:rsidRPr="004549D6">
        <w:rPr>
          <w:sz w:val="18"/>
          <w:szCs w:val="18"/>
        </w:rPr>
        <w:t xml:space="preserve"> </w:t>
      </w:r>
      <w:proofErr w:type="gramStart"/>
      <w:r w:rsidRPr="004549D6">
        <w:rPr>
          <w:sz w:val="18"/>
          <w:szCs w:val="18"/>
          <w:lang w:val="en-US"/>
        </w:rPr>
        <w:t>Specijalno državno tužilaštvo tokom 2015.</w:t>
      </w:r>
      <w:proofErr w:type="gramEnd"/>
      <w:r w:rsidRPr="004549D6">
        <w:rPr>
          <w:sz w:val="18"/>
          <w:szCs w:val="18"/>
          <w:lang w:val="en-US"/>
        </w:rPr>
        <w:t xml:space="preserve"> </w:t>
      </w:r>
      <w:proofErr w:type="gramStart"/>
      <w:r w:rsidRPr="004549D6">
        <w:rPr>
          <w:sz w:val="18"/>
          <w:szCs w:val="18"/>
          <w:lang w:val="en-US"/>
        </w:rPr>
        <w:t>godine</w:t>
      </w:r>
      <w:proofErr w:type="gramEnd"/>
      <w:r w:rsidRPr="004549D6">
        <w:rPr>
          <w:sz w:val="18"/>
          <w:szCs w:val="18"/>
          <w:lang w:val="en-US"/>
        </w:rPr>
        <w:t xml:space="preserve"> nije imalo troškova po osnovu postavljanja branilaca po lsužbenoj dužnosti, dok su ukupni troškovi po ovom osnovu za postavljenje 12 branilaca po službenoj dužnosti za cijelu 2016. </w:t>
      </w:r>
      <w:proofErr w:type="gramStart"/>
      <w:r w:rsidRPr="004549D6">
        <w:rPr>
          <w:sz w:val="18"/>
          <w:szCs w:val="18"/>
          <w:lang w:val="en-US"/>
        </w:rPr>
        <w:t>godinu</w:t>
      </w:r>
      <w:proofErr w:type="gramEnd"/>
      <w:r w:rsidRPr="004549D6">
        <w:rPr>
          <w:sz w:val="18"/>
          <w:szCs w:val="18"/>
          <w:lang w:val="en-US"/>
        </w:rPr>
        <w:t xml:space="preserve"> iznosili 20.520,97.</w:t>
      </w:r>
    </w:p>
  </w:footnote>
  <w:footnote w:id="21">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Uzorak se odnosi na sve osnovne sudove u Crnoj Gori, osim Osnovnog suda u Podgorici i Cetinju</w:t>
      </w:r>
    </w:p>
  </w:footnote>
  <w:footnote w:id="22">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Podaci se odnose  na sva osnovna državna tužilaštva u Crnoj Gori, sa izuzetkom Osnovnog državnog tužilaštva u Baru</w:t>
      </w:r>
    </w:p>
  </w:footnote>
  <w:footnote w:id="23">
    <w:p w:rsidR="007715E0" w:rsidRPr="004549D6" w:rsidRDefault="007715E0" w:rsidP="007715E0">
      <w:pPr>
        <w:pStyle w:val="FootnoteText"/>
        <w:jc w:val="both"/>
        <w:rPr>
          <w:sz w:val="18"/>
          <w:szCs w:val="18"/>
          <w:lang w:val="en-US"/>
        </w:rPr>
      </w:pPr>
      <w:r w:rsidRPr="004549D6">
        <w:rPr>
          <w:rStyle w:val="FootnoteReference"/>
          <w:sz w:val="18"/>
          <w:szCs w:val="18"/>
        </w:rPr>
        <w:footnoteRef/>
      </w:r>
      <w:r w:rsidRPr="004549D6">
        <w:rPr>
          <w:sz w:val="18"/>
          <w:szCs w:val="18"/>
        </w:rPr>
        <w:t xml:space="preserve"> </w:t>
      </w:r>
      <w:r w:rsidRPr="004549D6">
        <w:rPr>
          <w:sz w:val="18"/>
          <w:szCs w:val="18"/>
          <w:lang w:val="en-US"/>
        </w:rPr>
        <w:t xml:space="preserve">Specijalno državno tužilaštvo je tokom izvještajnog perioda imalo postavljenje ukupno 12 branilaca po službenoj dužnosti </w:t>
      </w:r>
    </w:p>
  </w:footnote>
  <w:footnote w:id="24">
    <w:p w:rsidR="007715E0" w:rsidRPr="004549D6" w:rsidRDefault="007715E0" w:rsidP="007715E0">
      <w:pPr>
        <w:autoSpaceDE w:val="0"/>
        <w:autoSpaceDN w:val="0"/>
        <w:adjustRightInd w:val="0"/>
        <w:jc w:val="both"/>
        <w:rPr>
          <w:bCs/>
          <w:sz w:val="18"/>
          <w:szCs w:val="18"/>
          <w:lang w:val="sr-Latn-RS"/>
        </w:rPr>
      </w:pPr>
      <w:r w:rsidRPr="004549D6">
        <w:rPr>
          <w:rStyle w:val="FootnoteReference"/>
          <w:sz w:val="18"/>
          <w:szCs w:val="18"/>
        </w:rPr>
        <w:footnoteRef/>
      </w:r>
      <w:r w:rsidRPr="004549D6">
        <w:rPr>
          <w:sz w:val="18"/>
          <w:szCs w:val="18"/>
        </w:rPr>
        <w:t xml:space="preserve"> </w:t>
      </w:r>
      <w:proofErr w:type="gramStart"/>
      <w:r w:rsidRPr="004549D6">
        <w:rPr>
          <w:sz w:val="18"/>
          <w:szCs w:val="18"/>
        </w:rPr>
        <w:t>„</w:t>
      </w:r>
      <w:r w:rsidRPr="004549D6">
        <w:rPr>
          <w:bCs/>
          <w:sz w:val="18"/>
          <w:szCs w:val="18"/>
          <w:lang w:val="sr-Latn-RS"/>
        </w:rPr>
        <w:t>Nisam postavljena za branioca po službenoj dužnosti već više od 4 godine.</w:t>
      </w:r>
      <w:proofErr w:type="gramEnd"/>
      <w:r w:rsidRPr="004549D6">
        <w:rPr>
          <w:bCs/>
          <w:sz w:val="18"/>
          <w:szCs w:val="18"/>
          <w:lang w:val="sr-Latn-RS"/>
        </w:rPr>
        <w:t xml:space="preserve"> Nemoguće je da za period od 4 godine u gradu gde ima 10-tak advokata nije se po utvrđenom redosledu sa liste advokata došlo na red“. Odgovor jednog od ispitivanih advokata</w:t>
      </w:r>
    </w:p>
  </w:footnote>
  <w:footnote w:id="25">
    <w:p w:rsidR="007715E0" w:rsidRPr="004549D6" w:rsidRDefault="007715E0" w:rsidP="004549D6">
      <w:pPr>
        <w:spacing w:after="0"/>
        <w:jc w:val="both"/>
        <w:rPr>
          <w:sz w:val="18"/>
          <w:szCs w:val="18"/>
        </w:rPr>
      </w:pPr>
      <w:r w:rsidRPr="004549D6">
        <w:rPr>
          <w:rStyle w:val="FootnoteReference"/>
          <w:sz w:val="18"/>
          <w:szCs w:val="18"/>
        </w:rPr>
        <w:footnoteRef/>
      </w:r>
      <w:r w:rsidRPr="004549D6">
        <w:rPr>
          <w:sz w:val="18"/>
          <w:szCs w:val="18"/>
        </w:rPr>
        <w:t xml:space="preserve"> “Imam </w:t>
      </w:r>
      <w:proofErr w:type="gramStart"/>
      <w:r w:rsidRPr="004549D6">
        <w:rPr>
          <w:sz w:val="18"/>
          <w:szCs w:val="18"/>
        </w:rPr>
        <w:t>veliku</w:t>
      </w:r>
      <w:proofErr w:type="gramEnd"/>
      <w:r w:rsidRPr="004549D6">
        <w:rPr>
          <w:sz w:val="18"/>
          <w:szCs w:val="18"/>
        </w:rPr>
        <w:t xml:space="preserve"> primjedbu na poštovanje redosleda sa liste Adv. Komore. Nije moguće da neko </w:t>
      </w:r>
      <w:proofErr w:type="gramStart"/>
      <w:r w:rsidRPr="004549D6">
        <w:rPr>
          <w:sz w:val="18"/>
          <w:szCs w:val="18"/>
        </w:rPr>
        <w:t>od</w:t>
      </w:r>
      <w:proofErr w:type="gramEnd"/>
      <w:r w:rsidRPr="004549D6">
        <w:rPr>
          <w:sz w:val="18"/>
          <w:szCs w:val="18"/>
        </w:rPr>
        <w:t xml:space="preserve"> mojih kolega dobije po 10 ili 15 slučajeva u toku godine a ja za sedam godina da dobijem dva. </w:t>
      </w:r>
      <w:proofErr w:type="gramStart"/>
      <w:r w:rsidRPr="004549D6">
        <w:rPr>
          <w:sz w:val="18"/>
          <w:szCs w:val="18"/>
        </w:rPr>
        <w:t>Potrebno je uvesti neki mehanizam za kontrolu svih sudova i tužilaštava kada su u pitanju pozivi.</w:t>
      </w:r>
      <w:proofErr w:type="gramEnd"/>
      <w:r w:rsidRPr="004549D6">
        <w:rPr>
          <w:sz w:val="18"/>
          <w:szCs w:val="18"/>
        </w:rPr>
        <w:t xml:space="preserve"> Desilo mi se da mi telefon zazvoni samo dva puta i kad se javim poslije 2 minuta, kažu mi da su već našli nekoga i da trebam da čekam onda da me ponovo pozovu. Zvali su me iz osnovnog suda, </w:t>
      </w:r>
      <w:proofErr w:type="gramStart"/>
      <w:r w:rsidRPr="004549D6">
        <w:rPr>
          <w:sz w:val="18"/>
          <w:szCs w:val="18"/>
        </w:rPr>
        <w:t>a</w:t>
      </w:r>
      <w:proofErr w:type="gramEnd"/>
      <w:r w:rsidRPr="004549D6">
        <w:rPr>
          <w:sz w:val="18"/>
          <w:szCs w:val="18"/>
        </w:rPr>
        <w:t xml:space="preserve"> iz tužilaštva nikako, ove godine sam dobio prvu odbranu po službenoj</w:t>
      </w:r>
      <w:r w:rsidR="004549D6" w:rsidRPr="004549D6">
        <w:rPr>
          <w:sz w:val="18"/>
          <w:szCs w:val="18"/>
        </w:rPr>
        <w:t xml:space="preserve"> dužnosti od strane tužilaštva” - </w:t>
      </w:r>
      <w:r w:rsidRPr="004549D6">
        <w:rPr>
          <w:sz w:val="18"/>
          <w:szCs w:val="18"/>
        </w:rPr>
        <w:t>odgovor jednog od advokata</w:t>
      </w:r>
      <w:r w:rsidR="004549D6" w:rsidRPr="004549D6">
        <w:rPr>
          <w:sz w:val="18"/>
          <w:szCs w:val="18"/>
        </w:rPr>
        <w:t>.</w:t>
      </w:r>
    </w:p>
  </w:footnote>
  <w:footnote w:id="26">
    <w:p w:rsidR="007715E0" w:rsidRPr="004549D6" w:rsidRDefault="007715E0" w:rsidP="004549D6">
      <w:pPr>
        <w:spacing w:after="0"/>
        <w:jc w:val="both"/>
        <w:rPr>
          <w:sz w:val="18"/>
          <w:szCs w:val="18"/>
          <w:lang w:val="en-US"/>
        </w:rPr>
      </w:pPr>
      <w:r w:rsidRPr="004549D6">
        <w:rPr>
          <w:rStyle w:val="FootnoteReference"/>
          <w:sz w:val="18"/>
          <w:szCs w:val="18"/>
        </w:rPr>
        <w:footnoteRef/>
      </w:r>
      <w:r w:rsidRPr="004549D6">
        <w:rPr>
          <w:sz w:val="18"/>
          <w:szCs w:val="18"/>
        </w:rPr>
        <w:t xml:space="preserve"> U pogledu transparentnosti angažovanja branilaca po službenoj dužnosti, predložio bih da svi organi, a </w:t>
      </w:r>
      <w:proofErr w:type="gramStart"/>
      <w:r w:rsidRPr="004549D6">
        <w:rPr>
          <w:sz w:val="18"/>
          <w:szCs w:val="18"/>
        </w:rPr>
        <w:t>posebno(</w:t>
      </w:r>
      <w:proofErr w:type="gramEnd"/>
      <w:r w:rsidRPr="004549D6">
        <w:rPr>
          <w:sz w:val="18"/>
          <w:szCs w:val="18"/>
        </w:rPr>
        <w:t xml:space="preserve">sudovi, državna tužilaštva), mjesečno ili kvartalno, objavljuju na svojim sajtovima(ili oglasnim tablama), spiskove angažovanih advokata. </w:t>
      </w:r>
      <w:proofErr w:type="gramStart"/>
      <w:r w:rsidRPr="004549D6">
        <w:rPr>
          <w:sz w:val="18"/>
          <w:szCs w:val="18"/>
        </w:rPr>
        <w:t>Tako bi se dobio uvid u to da li se poštuje azbučni red prilikom angažovanja branilaca, budući da se po tom kriterijumu obično angažuju branioci.</w:t>
      </w:r>
      <w:proofErr w:type="gramEnd"/>
    </w:p>
  </w:footnote>
  <w:footnote w:id="27">
    <w:p w:rsidR="007715E0" w:rsidRPr="004549D6" w:rsidRDefault="007715E0" w:rsidP="004549D6">
      <w:pPr>
        <w:spacing w:after="0"/>
        <w:jc w:val="both"/>
        <w:rPr>
          <w:sz w:val="18"/>
          <w:szCs w:val="18"/>
          <w:lang w:val="en-US"/>
        </w:rPr>
      </w:pPr>
      <w:r w:rsidRPr="004549D6">
        <w:rPr>
          <w:rStyle w:val="FootnoteReference"/>
          <w:sz w:val="18"/>
          <w:szCs w:val="18"/>
        </w:rPr>
        <w:footnoteRef/>
      </w:r>
      <w:r w:rsidRPr="004549D6">
        <w:rPr>
          <w:sz w:val="18"/>
          <w:szCs w:val="18"/>
        </w:rPr>
        <w:t xml:space="preserve"> </w:t>
      </w:r>
      <w:proofErr w:type="gramStart"/>
      <w:r w:rsidRPr="004549D6">
        <w:rPr>
          <w:sz w:val="18"/>
          <w:szCs w:val="18"/>
        </w:rPr>
        <w:t>„Obično telefon zazvoni jednom i kasnije kad pokušam da ih dobijem, ne javljaju se i kad se jave kažu da je nekome već dodijeljen slučaj“.</w:t>
      </w:r>
      <w:proofErr w:type="gramEnd"/>
      <w:r w:rsidRPr="004549D6">
        <w:rPr>
          <w:sz w:val="18"/>
          <w:szCs w:val="18"/>
        </w:rPr>
        <w:t xml:space="preserve"> </w:t>
      </w:r>
      <w:proofErr w:type="gramStart"/>
      <w:r w:rsidRPr="004549D6">
        <w:rPr>
          <w:sz w:val="18"/>
          <w:szCs w:val="18"/>
        </w:rPr>
        <w:t>odgovor</w:t>
      </w:r>
      <w:proofErr w:type="gramEnd"/>
      <w:r w:rsidRPr="004549D6">
        <w:rPr>
          <w:sz w:val="18"/>
          <w:szCs w:val="18"/>
        </w:rPr>
        <w:t xml:space="preserve"> jednog od advokata</w:t>
      </w:r>
      <w:r w:rsidR="004549D6" w:rsidRPr="004549D6">
        <w:rPr>
          <w:sz w:val="18"/>
          <w:szCs w:val="18"/>
        </w:rPr>
        <w:t>.</w:t>
      </w:r>
    </w:p>
  </w:footnote>
  <w:footnote w:id="28">
    <w:p w:rsidR="007715E0" w:rsidRPr="004549D6" w:rsidRDefault="007715E0" w:rsidP="004549D6">
      <w:pPr>
        <w:pStyle w:val="FootnoteText"/>
        <w:jc w:val="both"/>
        <w:rPr>
          <w:sz w:val="18"/>
          <w:szCs w:val="18"/>
          <w:lang w:val="en-US"/>
        </w:rPr>
      </w:pPr>
      <w:r w:rsidRPr="004549D6">
        <w:rPr>
          <w:rStyle w:val="FootnoteReference"/>
          <w:sz w:val="18"/>
          <w:szCs w:val="18"/>
        </w:rPr>
        <w:footnoteRef/>
      </w:r>
      <w:r w:rsidRPr="004549D6">
        <w:rPr>
          <w:sz w:val="18"/>
          <w:szCs w:val="18"/>
        </w:rPr>
        <w:t xml:space="preserve"> „</w:t>
      </w:r>
      <w:r w:rsidRPr="004549D6">
        <w:rPr>
          <w:bCs/>
          <w:sz w:val="18"/>
          <w:szCs w:val="18"/>
          <w:lang w:val="uz-Cyrl-UZ"/>
        </w:rPr>
        <w:t xml:space="preserve">Sugestija je da se ostavi najkraci rok, od recimo 30 minuta, u kojem, ako se adv ne javi, zove se drugi. </w:t>
      </w:r>
      <w:r w:rsidRPr="004549D6">
        <w:rPr>
          <w:bCs/>
          <w:sz w:val="18"/>
          <w:szCs w:val="18"/>
          <w:lang w:val="uz-Cyrl-UZ"/>
        </w:rPr>
        <w:t>Ili se salje sms advokatu, pa ukoliko ne odgovori u roku od 30 min zove se drugi. Pozivi su preko nepoznatih brojeva, ponekad i privatnih od strane zaposlenih u organu, te advokat ne zna ko ga zove, jer kad bi znao vjerovatno bi se prije javio. Zato kazem sms ili barem 30 min rok. Iz svog iskustva, javio sam se na poziv sa 4 min zakasnjenja i rekli su mi da sam zakasnio, zbog navodne hitnosti, sto je apsurd jer prvo advokat dodje da uzme predmet, pa tih par minuta, ni nakoji način ne ugrožava prava branjenika</w:t>
      </w:r>
      <w:r w:rsidRPr="004549D6">
        <w:rPr>
          <w:bCs/>
          <w:sz w:val="18"/>
          <w:szCs w:val="18"/>
          <w:lang w:val="en-US"/>
        </w:rPr>
        <w:t>”</w:t>
      </w:r>
      <w:r w:rsidRPr="004549D6">
        <w:rPr>
          <w:bCs/>
          <w:sz w:val="18"/>
          <w:szCs w:val="18"/>
          <w:lang w:val="uz-Cyrl-UZ"/>
        </w:rPr>
        <w:t>.</w:t>
      </w:r>
      <w:r w:rsidRPr="004549D6">
        <w:rPr>
          <w:bCs/>
          <w:sz w:val="18"/>
          <w:szCs w:val="18"/>
          <w:lang w:val="en-US"/>
        </w:rPr>
        <w:t xml:space="preserve"> </w:t>
      </w:r>
      <w:proofErr w:type="gramStart"/>
      <w:r w:rsidRPr="004549D6">
        <w:rPr>
          <w:bCs/>
          <w:sz w:val="18"/>
          <w:szCs w:val="18"/>
          <w:lang w:val="en-US"/>
        </w:rPr>
        <w:t>odgovor</w:t>
      </w:r>
      <w:proofErr w:type="gramEnd"/>
      <w:r w:rsidRPr="004549D6">
        <w:rPr>
          <w:bCs/>
          <w:sz w:val="18"/>
          <w:szCs w:val="18"/>
          <w:lang w:val="en-US"/>
        </w:rPr>
        <w:t xml:space="preserve"> jednog od ispitanih advokata</w:t>
      </w:r>
      <w:r w:rsidR="004549D6" w:rsidRPr="004549D6">
        <w:rPr>
          <w:bCs/>
          <w:sz w:val="18"/>
          <w:szCs w:val="18"/>
          <w:lang w:val="en-US"/>
        </w:rPr>
        <w:t>.</w:t>
      </w:r>
    </w:p>
  </w:footnote>
  <w:footnote w:id="29">
    <w:p w:rsidR="007715E0" w:rsidRPr="004549D6" w:rsidRDefault="007715E0" w:rsidP="004549D6">
      <w:pPr>
        <w:pStyle w:val="NormalWeb"/>
        <w:shd w:val="clear" w:color="auto" w:fill="FFFFFF"/>
        <w:spacing w:after="0" w:line="240" w:lineRule="auto"/>
        <w:jc w:val="both"/>
        <w:rPr>
          <w:rFonts w:asciiTheme="minorHAnsi" w:hAnsiTheme="minorHAnsi"/>
          <w:sz w:val="18"/>
          <w:szCs w:val="18"/>
          <w:lang w:val="en-US"/>
        </w:rPr>
      </w:pPr>
      <w:r w:rsidRPr="004549D6">
        <w:rPr>
          <w:rStyle w:val="FootnoteReference"/>
          <w:rFonts w:asciiTheme="minorHAnsi" w:hAnsiTheme="minorHAnsi"/>
          <w:sz w:val="18"/>
          <w:szCs w:val="18"/>
        </w:rPr>
        <w:footnoteRef/>
      </w:r>
      <w:r w:rsidRPr="004549D6">
        <w:rPr>
          <w:rFonts w:asciiTheme="minorHAnsi" w:hAnsiTheme="minorHAnsi"/>
          <w:sz w:val="18"/>
          <w:szCs w:val="18"/>
        </w:rPr>
        <w:t xml:space="preserve"> </w:t>
      </w:r>
      <w:r w:rsidRPr="004549D6">
        <w:rPr>
          <w:rFonts w:asciiTheme="minorHAnsi" w:hAnsiTheme="minorHAnsi"/>
          <w:sz w:val="18"/>
          <w:szCs w:val="18"/>
        </w:rPr>
        <w:t>“</w:t>
      </w:r>
      <w:r w:rsidRPr="004549D6">
        <w:rPr>
          <w:rFonts w:asciiTheme="minorHAnsi" w:hAnsiTheme="minorHAnsi"/>
          <w:color w:val="222222"/>
          <w:sz w:val="18"/>
          <w:szCs w:val="18"/>
        </w:rPr>
        <w:t>Prije 4 godine promijenila broj telefona i isti uredno dostavila Advokatskoj komori CG, kako bi svaku promjenu dostavili sudovima i tužilaštvima upravo zbog poziva za službenu odbranu, na moju žalost promjena mog broja NIJE bila ažurirana, te me je Osnovno tužilaštvo, kao i Osnovni sud pozivalo na broj koji nije bio u funkciji! Intetesantno u svemu je to što je Više tužilaštvo imalo izmjinjen - novi broj, a Osnovno nije?! Što je blago rečeno "čudno", jer AKCG automatski svim organima dostavlja izmjene, tako da sam se sama interesovala kod sekretara Osnovnog suda i Osnovnog tužilaštva, tražeci prijem, o čemu imam i zvanični dokument, a nakon istog prijema saopšteno mi je da je "ispravljena greška", ali meni niko nije nadoknadio štetu što sam njihovom krivicom ostala uskracena za odbranu po službenoj dužnosti i u Osnovnom tužilaštvu i u Osnovnom sudu, iz kog razloga mi više i na pada</w:t>
      </w:r>
      <w:r w:rsidRPr="004549D6">
        <w:rPr>
          <w:rFonts w:asciiTheme="minorHAnsi" w:hAnsiTheme="minorHAnsi" w:cs="Arial"/>
          <w:color w:val="222222"/>
          <w:sz w:val="18"/>
          <w:szCs w:val="18"/>
        </w:rPr>
        <w:t xml:space="preserve"> </w:t>
      </w:r>
      <w:r w:rsidRPr="004549D6">
        <w:rPr>
          <w:rFonts w:asciiTheme="minorHAnsi" w:hAnsiTheme="minorHAnsi"/>
          <w:color w:val="222222"/>
          <w:sz w:val="18"/>
          <w:szCs w:val="18"/>
        </w:rPr>
        <w:t>na pamet da promijenim broj telefona da ne bih slučajno došla u istu situaciju - da od trenutka izmjene i obavještenja AKCG čekam 4 godine da svaki sud i tužilaštvo u Crnoj Gori dobiju novi spisak!”- odgovor jedne advokatice</w:t>
      </w:r>
      <w:r w:rsidR="004549D6" w:rsidRPr="004549D6">
        <w:rPr>
          <w:rFonts w:asciiTheme="minorHAnsi" w:hAnsiTheme="minorHAnsi"/>
          <w:color w:val="222222"/>
          <w:sz w:val="18"/>
          <w:szCs w:val="18"/>
          <w:lang w:val="sr-Latn-ME"/>
        </w:rPr>
        <w:t>.</w:t>
      </w:r>
    </w:p>
  </w:footnote>
  <w:footnote w:id="30">
    <w:p w:rsidR="007715E0" w:rsidRPr="004549D6" w:rsidRDefault="007715E0" w:rsidP="007715E0">
      <w:pPr>
        <w:pStyle w:val="FootnoteText"/>
        <w:jc w:val="both"/>
        <w:rPr>
          <w:sz w:val="18"/>
          <w:szCs w:val="18"/>
          <w:lang w:val="en-US"/>
        </w:rPr>
      </w:pPr>
      <w:r w:rsidRPr="004549D6">
        <w:rPr>
          <w:rStyle w:val="FootnoteReference"/>
          <w:sz w:val="18"/>
          <w:szCs w:val="18"/>
        </w:rPr>
        <w:footnoteRef/>
      </w:r>
      <w:proofErr w:type="gramStart"/>
      <w:r w:rsidRPr="004549D6">
        <w:rPr>
          <w:sz w:val="18"/>
          <w:szCs w:val="18"/>
        </w:rPr>
        <w:t>„</w:t>
      </w:r>
      <w:r w:rsidRPr="004549D6">
        <w:rPr>
          <w:color w:val="222222"/>
          <w:sz w:val="18"/>
          <w:szCs w:val="18"/>
          <w:lang w:val="en-US"/>
        </w:rPr>
        <w:t>Naknade za odbrane po službenoj dužnosti trebale bi biti iste kao i za odbranu po izboru jer se radi o istoj vrsti i obimu posla koji advokat mora profesionalno i stručno obavljati.</w:t>
      </w:r>
      <w:proofErr w:type="gramEnd"/>
      <w:r w:rsidRPr="004549D6">
        <w:rPr>
          <w:color w:val="222222"/>
          <w:sz w:val="18"/>
          <w:szCs w:val="18"/>
          <w:lang w:val="en-US"/>
        </w:rPr>
        <w:t xml:space="preserve"> Manja naknada može da utiče i </w:t>
      </w:r>
      <w:proofErr w:type="gramStart"/>
      <w:r w:rsidRPr="004549D6">
        <w:rPr>
          <w:color w:val="222222"/>
          <w:sz w:val="18"/>
          <w:szCs w:val="18"/>
          <w:lang w:val="en-US"/>
        </w:rPr>
        <w:t>na</w:t>
      </w:r>
      <w:proofErr w:type="gramEnd"/>
      <w:r w:rsidRPr="004549D6">
        <w:rPr>
          <w:color w:val="222222"/>
          <w:sz w:val="18"/>
          <w:szCs w:val="18"/>
          <w:lang w:val="en-US"/>
        </w:rPr>
        <w:t xml:space="preserve"> lošije angažovanje advokata, iako to ne bi smio da bude slučaj”.  </w:t>
      </w:r>
    </w:p>
  </w:footnote>
  <w:footnote w:id="31">
    <w:p w:rsidR="007715E0" w:rsidRPr="004549D6" w:rsidRDefault="007715E0" w:rsidP="007715E0">
      <w:pPr>
        <w:pStyle w:val="FootnoteText"/>
        <w:rPr>
          <w:sz w:val="18"/>
          <w:szCs w:val="18"/>
          <w:lang w:val="en-US"/>
        </w:rPr>
      </w:pPr>
      <w:r w:rsidRPr="004549D6">
        <w:rPr>
          <w:rStyle w:val="FootnoteReference"/>
          <w:sz w:val="18"/>
          <w:szCs w:val="18"/>
        </w:rPr>
        <w:footnoteRef/>
      </w:r>
      <w:r w:rsidRPr="004549D6">
        <w:rPr>
          <w:sz w:val="18"/>
          <w:szCs w:val="18"/>
        </w:rPr>
        <w:t xml:space="preserve"> „ U svim slučajevima neprofesionalne i pasivne odbrane, sudije bi morale da upozore advokate i da se staraju da svaki okrivljeni ima kvalitetnu odbranu u slučajevima obavezne odbrane</w:t>
      </w:r>
      <w:proofErr w:type="gramStart"/>
      <w:r w:rsidRPr="004549D6">
        <w:rPr>
          <w:sz w:val="18"/>
          <w:szCs w:val="18"/>
        </w:rPr>
        <w:t>.“</w:t>
      </w:r>
      <w:proofErr w:type="gramEnd"/>
      <w:r w:rsidRPr="004549D6">
        <w:rPr>
          <w:sz w:val="18"/>
          <w:szCs w:val="18"/>
        </w:rPr>
        <w:t xml:space="preserve"> Odgovor jednog od ispitanih advokata</w:t>
      </w:r>
    </w:p>
  </w:footnote>
  <w:footnote w:id="32">
    <w:p w:rsidR="007715E0" w:rsidRPr="004549D6" w:rsidRDefault="007715E0" w:rsidP="004549D6">
      <w:pPr>
        <w:spacing w:after="0"/>
        <w:jc w:val="both"/>
        <w:rPr>
          <w:sz w:val="18"/>
          <w:szCs w:val="18"/>
        </w:rPr>
      </w:pPr>
      <w:r w:rsidRPr="004549D6">
        <w:rPr>
          <w:rStyle w:val="FootnoteReference"/>
          <w:sz w:val="18"/>
          <w:szCs w:val="18"/>
        </w:rPr>
        <w:footnoteRef/>
      </w:r>
      <w:r w:rsidRPr="004549D6">
        <w:rPr>
          <w:sz w:val="18"/>
          <w:szCs w:val="18"/>
        </w:rPr>
        <w:t xml:space="preserve"> “Smatram da bi trebalo napraviti razliku između branioca po službenoj dužnosti pred Osnovnim i Višim sudovima na način što bi na listi za branioca po službenoj dužnosti pred Osnovnim sudom bili advokat sa radnim iskustvom do 5 godina, dok bi lista advokata za branioca po službenoj </w:t>
      </w:r>
      <w:proofErr w:type="gramStart"/>
      <w:r w:rsidRPr="004549D6">
        <w:rPr>
          <w:sz w:val="18"/>
          <w:szCs w:val="18"/>
        </w:rPr>
        <w:t>dužnosti  pred</w:t>
      </w:r>
      <w:proofErr w:type="gramEnd"/>
      <w:r w:rsidRPr="004549D6">
        <w:rPr>
          <w:sz w:val="18"/>
          <w:szCs w:val="18"/>
        </w:rPr>
        <w:t xml:space="preserve"> Višim sudom obuhvatala advokate sa  5 i više godina rdanog iskustv</w:t>
      </w:r>
      <w:r w:rsidR="004549D6">
        <w:rPr>
          <w:sz w:val="18"/>
          <w:szCs w:val="18"/>
        </w:rPr>
        <w:t>a”- odgovor jednog od advokata.</w:t>
      </w:r>
    </w:p>
  </w:footnote>
  <w:footnote w:id="33">
    <w:p w:rsidR="007715E0" w:rsidRPr="004549D6" w:rsidRDefault="007715E0" w:rsidP="004549D6">
      <w:pPr>
        <w:pStyle w:val="FootnoteText"/>
        <w:rPr>
          <w:sz w:val="18"/>
          <w:szCs w:val="18"/>
          <w:lang w:val="sr-Latn-RS"/>
        </w:rPr>
      </w:pPr>
      <w:r w:rsidRPr="004549D6">
        <w:rPr>
          <w:rStyle w:val="FootnoteReference"/>
          <w:sz w:val="18"/>
          <w:szCs w:val="18"/>
        </w:rPr>
        <w:footnoteRef/>
      </w:r>
      <w:r w:rsidRPr="004549D6">
        <w:rPr>
          <w:sz w:val="18"/>
          <w:szCs w:val="18"/>
        </w:rPr>
        <w:t xml:space="preserve"> Vidjeti detaljnije pritužbu </w:t>
      </w:r>
      <w:proofErr w:type="gramStart"/>
      <w:r w:rsidRPr="004549D6">
        <w:rPr>
          <w:sz w:val="18"/>
          <w:szCs w:val="18"/>
        </w:rPr>
        <w:t>na</w:t>
      </w:r>
      <w:proofErr w:type="gramEnd"/>
      <w:r w:rsidRPr="004549D6">
        <w:rPr>
          <w:sz w:val="18"/>
          <w:szCs w:val="18"/>
        </w:rPr>
        <w:t xml:space="preserve"> sajtu Akcije za ljudska prava</w:t>
      </w:r>
      <w:r w:rsidR="004549D6">
        <w:rPr>
          <w:sz w:val="18"/>
          <w:szCs w:val="18"/>
        </w:rPr>
        <w:t>.</w:t>
      </w:r>
      <w:r w:rsidRPr="004549D6">
        <w:rPr>
          <w:sz w:val="18"/>
          <w:szCs w:val="18"/>
        </w:rPr>
        <w:t xml:space="preserve"> </w:t>
      </w:r>
    </w:p>
  </w:footnote>
  <w:footnote w:id="34">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Izvještaj „Praćenje suđenja“ 2011.-2012, Misija OEBS-a u Crnoj Gori</w:t>
      </w:r>
      <w:r w:rsidR="004549D6">
        <w:rPr>
          <w:sz w:val="18"/>
          <w:szCs w:val="18"/>
          <w:lang w:val="sr-Latn-RS"/>
        </w:rPr>
        <w:t>.</w:t>
      </w:r>
    </w:p>
  </w:footnote>
  <w:footnote w:id="35">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 xml:space="preserve">Strana 61 Izvještaja Ombudsmana za 2015.godinu,može se pronaći na web stranici </w:t>
      </w:r>
      <w:hyperlink r:id="rId1" w:history="1">
        <w:r w:rsidR="004549D6" w:rsidRPr="00646A81">
          <w:rPr>
            <w:rStyle w:val="Hyperlink"/>
            <w:sz w:val="18"/>
            <w:szCs w:val="18"/>
            <w:lang w:val="sr-Latn-RS"/>
          </w:rPr>
          <w:t>www.ombudsman.co.me</w:t>
        </w:r>
      </w:hyperlink>
      <w:r w:rsidR="004549D6">
        <w:rPr>
          <w:sz w:val="18"/>
          <w:szCs w:val="18"/>
          <w:lang w:val="sr-Latn-RS"/>
        </w:rPr>
        <w:t xml:space="preserve">.  </w:t>
      </w:r>
    </w:p>
  </w:footnote>
  <w:footnote w:id="36">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 xml:space="preserve">Član </w:t>
      </w:r>
      <w:r w:rsidRPr="004549D6">
        <w:rPr>
          <w:color w:val="FF0000"/>
          <w:sz w:val="18"/>
          <w:szCs w:val="18"/>
          <w:lang w:val="sr-Latn-RS"/>
        </w:rPr>
        <w:t>dodati</w:t>
      </w:r>
      <w:r w:rsidRPr="004549D6">
        <w:rPr>
          <w:sz w:val="18"/>
          <w:szCs w:val="18"/>
          <w:lang w:val="sr-Latn-RS"/>
        </w:rPr>
        <w:t xml:space="preserve">  ZKP-a</w:t>
      </w:r>
      <w:r w:rsidR="004549D6">
        <w:rPr>
          <w:sz w:val="18"/>
          <w:szCs w:val="18"/>
          <w:lang w:val="sr-Latn-RS"/>
        </w:rPr>
        <w:t>.</w:t>
      </w:r>
    </w:p>
  </w:footnote>
  <w:footnote w:id="37">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i/>
          <w:iCs/>
          <w:sz w:val="18"/>
          <w:szCs w:val="18"/>
        </w:rPr>
        <w:t xml:space="preserve">Kamasinski protiv Austrije </w:t>
      </w:r>
      <w:r w:rsidRPr="004549D6">
        <w:rPr>
          <w:iCs/>
          <w:sz w:val="18"/>
          <w:szCs w:val="18"/>
        </w:rPr>
        <w:t xml:space="preserve">(presuda </w:t>
      </w:r>
      <w:proofErr w:type="gramStart"/>
      <w:r w:rsidRPr="004549D6">
        <w:rPr>
          <w:iCs/>
          <w:sz w:val="18"/>
          <w:szCs w:val="18"/>
        </w:rPr>
        <w:t>od</w:t>
      </w:r>
      <w:proofErr w:type="gramEnd"/>
      <w:r w:rsidRPr="004549D6">
        <w:rPr>
          <w:iCs/>
          <w:sz w:val="18"/>
          <w:szCs w:val="18"/>
        </w:rPr>
        <w:t xml:space="preserve"> 19. decembra 1989. godine)</w:t>
      </w:r>
      <w:r w:rsidR="004549D6">
        <w:rPr>
          <w:iCs/>
          <w:sz w:val="18"/>
          <w:szCs w:val="18"/>
        </w:rPr>
        <w:t>.</w:t>
      </w:r>
    </w:p>
  </w:footnote>
  <w:footnote w:id="38">
    <w:p w:rsidR="007715E0" w:rsidRPr="004549D6" w:rsidRDefault="007715E0" w:rsidP="007715E0">
      <w:pPr>
        <w:pStyle w:val="ListParagraph"/>
        <w:ind w:left="0"/>
        <w:jc w:val="both"/>
        <w:rPr>
          <w:sz w:val="18"/>
          <w:szCs w:val="18"/>
        </w:rPr>
      </w:pPr>
      <w:r w:rsidRPr="004549D6">
        <w:rPr>
          <w:rStyle w:val="FootnoteReference"/>
          <w:sz w:val="18"/>
          <w:szCs w:val="18"/>
        </w:rPr>
        <w:footnoteRef/>
      </w:r>
      <w:r w:rsidRPr="004549D6">
        <w:rPr>
          <w:sz w:val="18"/>
          <w:szCs w:val="18"/>
        </w:rPr>
        <w:t xml:space="preserve"> </w:t>
      </w:r>
      <w:proofErr w:type="gramStart"/>
      <w:r w:rsidRPr="004549D6">
        <w:rPr>
          <w:sz w:val="18"/>
          <w:szCs w:val="18"/>
        </w:rPr>
        <w:t>“AK trebalo da podijeli spisak ili da na neki drugi način selektuje one branioce koji žele da se usmjeravaju ka određenim tipovima sporova, te da budu birani za te sporove”.</w:t>
      </w:r>
      <w:proofErr w:type="gramEnd"/>
      <w:r w:rsidRPr="004549D6">
        <w:rPr>
          <w:sz w:val="18"/>
          <w:szCs w:val="18"/>
        </w:rPr>
        <w:t xml:space="preserve"> sugestija jednog od sudija</w:t>
      </w:r>
    </w:p>
    <w:p w:rsidR="007715E0" w:rsidRPr="004549D6" w:rsidRDefault="007715E0" w:rsidP="007715E0">
      <w:pPr>
        <w:pStyle w:val="ListParagraph"/>
        <w:jc w:val="both"/>
        <w:rPr>
          <w:sz w:val="18"/>
          <w:szCs w:val="18"/>
        </w:rPr>
      </w:pPr>
    </w:p>
    <w:p w:rsidR="007715E0" w:rsidRPr="004549D6" w:rsidRDefault="007715E0" w:rsidP="007715E0">
      <w:pPr>
        <w:pStyle w:val="FootnoteText"/>
        <w:rPr>
          <w:sz w:val="18"/>
          <w:szCs w:val="18"/>
          <w:lang w:val="en-US"/>
        </w:rPr>
      </w:pPr>
    </w:p>
  </w:footnote>
  <w:footnote w:id="39">
    <w:p w:rsidR="007715E0" w:rsidRPr="004549D6" w:rsidRDefault="007715E0" w:rsidP="007715E0">
      <w:pPr>
        <w:pStyle w:val="FootnoteText"/>
        <w:rPr>
          <w:sz w:val="18"/>
          <w:szCs w:val="18"/>
        </w:rPr>
      </w:pPr>
      <w:r w:rsidRPr="004549D6">
        <w:rPr>
          <w:rStyle w:val="FootnoteReference"/>
          <w:sz w:val="18"/>
          <w:szCs w:val="18"/>
        </w:rPr>
        <w:footnoteRef/>
      </w:r>
      <w:r w:rsidRPr="004549D6">
        <w:rPr>
          <w:sz w:val="18"/>
          <w:szCs w:val="18"/>
        </w:rPr>
        <w:t xml:space="preserve">  </w:t>
      </w:r>
      <w:proofErr w:type="gramStart"/>
      <w:r w:rsidRPr="004549D6">
        <w:rPr>
          <w:sz w:val="18"/>
          <w:szCs w:val="18"/>
        </w:rPr>
        <w:t>“Istraživanje o efikasnosti pravne zaštite okrivljenih u Albaniji, Bosni i Hercegovini, Kosovu, Makedoniji i Srbiji”, Helsinški komitet za ljudska prava u Republici Srpskoj, 2016.</w:t>
      </w:r>
      <w:proofErr w:type="gramEnd"/>
      <w:r w:rsidRPr="004549D6">
        <w:rPr>
          <w:sz w:val="18"/>
          <w:szCs w:val="18"/>
        </w:rPr>
        <w:t xml:space="preserve"> </w:t>
      </w:r>
      <w:proofErr w:type="gramStart"/>
      <w:r w:rsidRPr="004549D6">
        <w:rPr>
          <w:sz w:val="18"/>
          <w:szCs w:val="18"/>
        </w:rPr>
        <w:t>godina</w:t>
      </w:r>
      <w:proofErr w:type="gramEnd"/>
      <w:r w:rsidRPr="004549D6">
        <w:rPr>
          <w:sz w:val="18"/>
          <w:szCs w:val="18"/>
        </w:rPr>
        <w:t>, vidjeti  na ....</w:t>
      </w:r>
    </w:p>
  </w:footnote>
  <w:footnote w:id="40">
    <w:p w:rsidR="007715E0" w:rsidRPr="004549D6" w:rsidRDefault="007715E0" w:rsidP="007715E0">
      <w:pPr>
        <w:rPr>
          <w:sz w:val="18"/>
          <w:szCs w:val="18"/>
        </w:rPr>
      </w:pPr>
      <w:r w:rsidRPr="004549D6">
        <w:rPr>
          <w:rStyle w:val="FootnoteReference"/>
          <w:sz w:val="18"/>
          <w:szCs w:val="18"/>
        </w:rPr>
        <w:footnoteRef/>
      </w:r>
      <w:r w:rsidRPr="004549D6">
        <w:rPr>
          <w:sz w:val="18"/>
          <w:szCs w:val="18"/>
        </w:rPr>
        <w:t xml:space="preserve"> Vidjeti više na http://www.koreni.rs/advokati-na-sluzbenoj-duznosti/</w:t>
      </w:r>
    </w:p>
    <w:p w:rsidR="007715E0" w:rsidRPr="004549D6" w:rsidRDefault="007715E0" w:rsidP="007715E0">
      <w:pPr>
        <w:pStyle w:val="FootnoteText"/>
        <w:rPr>
          <w:sz w:val="18"/>
          <w:szCs w:val="18"/>
          <w:lang w:val="sr-Latn-RS"/>
        </w:rPr>
      </w:pPr>
    </w:p>
  </w:footnote>
  <w:footnote w:id="41">
    <w:p w:rsidR="007715E0" w:rsidRPr="004549D6" w:rsidRDefault="007715E0" w:rsidP="007715E0">
      <w:pPr>
        <w:pStyle w:val="FootnoteText"/>
        <w:rPr>
          <w:sz w:val="18"/>
          <w:szCs w:val="18"/>
        </w:rPr>
      </w:pPr>
      <w:r w:rsidRPr="004549D6">
        <w:rPr>
          <w:rStyle w:val="FootnoteReference"/>
          <w:sz w:val="18"/>
          <w:szCs w:val="18"/>
        </w:rPr>
        <w:footnoteRef/>
      </w:r>
      <w:r w:rsidRPr="004549D6">
        <w:rPr>
          <w:sz w:val="18"/>
          <w:szCs w:val="18"/>
        </w:rPr>
        <w:t xml:space="preserve">Unapređenje sistema odbrane po službenoj dužnosti u Republici Srbiji -  Policy dokument,  </w:t>
      </w:r>
    </w:p>
    <w:p w:rsidR="007715E0" w:rsidRPr="004549D6" w:rsidRDefault="007715E0" w:rsidP="007715E0">
      <w:pPr>
        <w:pStyle w:val="FootnoteText"/>
        <w:rPr>
          <w:sz w:val="18"/>
          <w:szCs w:val="18"/>
        </w:rPr>
      </w:pPr>
      <w:r w:rsidRPr="004549D6">
        <w:rPr>
          <w:sz w:val="18"/>
          <w:szCs w:val="18"/>
        </w:rPr>
        <w:t xml:space="preserve">Mreža Odbora za ljudska prava u Srbiji CHRIS, </w:t>
      </w:r>
      <w:proofErr w:type="gramStart"/>
      <w:r w:rsidRPr="004549D6">
        <w:rPr>
          <w:sz w:val="18"/>
          <w:szCs w:val="18"/>
        </w:rPr>
        <w:t>jul</w:t>
      </w:r>
      <w:proofErr w:type="gramEnd"/>
      <w:r w:rsidRPr="004549D6">
        <w:rPr>
          <w:sz w:val="18"/>
          <w:szCs w:val="18"/>
        </w:rPr>
        <w:t xml:space="preserve"> 2016. godine</w:t>
      </w:r>
    </w:p>
  </w:footnote>
  <w:footnote w:id="42">
    <w:p w:rsidR="007715E0" w:rsidRPr="004549D6" w:rsidRDefault="007715E0" w:rsidP="007715E0">
      <w:pPr>
        <w:pStyle w:val="FootnoteText"/>
        <w:rPr>
          <w:sz w:val="18"/>
          <w:szCs w:val="18"/>
          <w:lang w:val="en-US"/>
        </w:rPr>
      </w:pPr>
      <w:r w:rsidRPr="004549D6">
        <w:rPr>
          <w:rStyle w:val="FootnoteReference"/>
          <w:sz w:val="18"/>
          <w:szCs w:val="18"/>
        </w:rPr>
        <w:footnoteRef/>
      </w:r>
      <w:r w:rsidRPr="004549D6">
        <w:rPr>
          <w:sz w:val="18"/>
          <w:szCs w:val="18"/>
        </w:rPr>
        <w:t xml:space="preserve"> </w:t>
      </w:r>
      <w:r w:rsidRPr="004549D6">
        <w:rPr>
          <w:sz w:val="18"/>
          <w:szCs w:val="18"/>
          <w:lang w:val="en-US"/>
        </w:rPr>
        <w:t>Ibidem</w:t>
      </w:r>
    </w:p>
  </w:footnote>
  <w:footnote w:id="43">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w:t>
      </w:r>
      <w:r w:rsidRPr="004549D6">
        <w:rPr>
          <w:sz w:val="18"/>
          <w:szCs w:val="18"/>
          <w:lang w:val="sr-Latn-RS"/>
        </w:rPr>
        <w:t>Podaci se odnose na sve Osnovne sudove,sa izuzetkom Osnovog suda u Podgorici i Cetinju</w:t>
      </w:r>
    </w:p>
  </w:footnote>
  <w:footnote w:id="44">
    <w:p w:rsidR="007715E0" w:rsidRPr="004549D6" w:rsidRDefault="007715E0" w:rsidP="007715E0">
      <w:pPr>
        <w:pStyle w:val="FootnoteText"/>
        <w:rPr>
          <w:sz w:val="18"/>
          <w:szCs w:val="18"/>
          <w:lang w:val="sr-Latn-RS"/>
        </w:rPr>
      </w:pPr>
      <w:r w:rsidRPr="004549D6">
        <w:rPr>
          <w:rStyle w:val="FootnoteReference"/>
          <w:sz w:val="18"/>
          <w:szCs w:val="18"/>
        </w:rPr>
        <w:footnoteRef/>
      </w:r>
      <w:r w:rsidRPr="004549D6">
        <w:rPr>
          <w:sz w:val="18"/>
          <w:szCs w:val="18"/>
        </w:rPr>
        <w:t xml:space="preserve"> Slična preporuka daje se u Policy dokumentu „Unapređenje sistema službene odbrane u Republici Srbiji“ gdje se predlaže instaliranje softvera koji bi mogao da prati angažovanje svih advokata po službenoj dužnosti, kao i instaliranje call centra u komori koji bi mogao da prati sve poziv </w:t>
      </w:r>
      <w:r w:rsidRPr="004549D6">
        <w:rPr>
          <w:sz w:val="18"/>
          <w:szCs w:val="18"/>
          <w:lang w:val="sr-Latn-RS"/>
        </w:rPr>
        <w:t>iz državnih ustanova.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C2FCF" w:rsidRDefault="00736684" w:rsidP="007C2FCF">
    <w:r>
      <w:rPr>
        <w:noProof/>
        <w:lang w:val="sr-Latn-ME" w:eastAsia="sr-Latn-ME"/>
      </w:rPr>
      <w:drawing>
        <wp:anchor distT="0" distB="0" distL="114300" distR="114300" simplePos="0" relativeHeight="251673600" behindDoc="1" locked="0" layoutInCell="1" allowOverlap="1" wp14:anchorId="4B2E0C4E" wp14:editId="409ADA1D">
          <wp:simplePos x="0" y="0"/>
          <wp:positionH relativeFrom="column">
            <wp:posOffset>3154680</wp:posOffset>
          </wp:positionH>
          <wp:positionV relativeFrom="paragraph">
            <wp:posOffset>-435610</wp:posOffset>
          </wp:positionV>
          <wp:extent cx="2917825"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12960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74624" behindDoc="1" locked="0" layoutInCell="1" allowOverlap="1" wp14:anchorId="0FAE52D8" wp14:editId="2DACE6CF">
          <wp:simplePos x="0" y="0"/>
          <wp:positionH relativeFrom="column">
            <wp:posOffset>-264795</wp:posOffset>
          </wp:positionH>
          <wp:positionV relativeFrom="paragraph">
            <wp:posOffset>-332740</wp:posOffset>
          </wp:positionV>
          <wp:extent cx="2448560" cy="1064895"/>
          <wp:effectExtent l="0" t="0" r="889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560" cy="1064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3187"/>
    <w:multiLevelType w:val="hybridMultilevel"/>
    <w:tmpl w:val="5F84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87C6B"/>
    <w:multiLevelType w:val="hybridMultilevel"/>
    <w:tmpl w:val="A1F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25641"/>
    <w:multiLevelType w:val="multilevel"/>
    <w:tmpl w:val="B0A6690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367032F"/>
    <w:multiLevelType w:val="multilevel"/>
    <w:tmpl w:val="98E6277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58847871"/>
    <w:multiLevelType w:val="hybridMultilevel"/>
    <w:tmpl w:val="93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92304B"/>
    <w:multiLevelType w:val="hybridMultilevel"/>
    <w:tmpl w:val="11B0D44C"/>
    <w:lvl w:ilvl="0" w:tplc="D5ACCCA2">
      <w:start w:val="2"/>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22740"/>
    <w:rsid w:val="00034B12"/>
    <w:rsid w:val="00052D5C"/>
    <w:rsid w:val="0006696E"/>
    <w:rsid w:val="00077822"/>
    <w:rsid w:val="000A19FE"/>
    <w:rsid w:val="000B1781"/>
    <w:rsid w:val="00117188"/>
    <w:rsid w:val="00146632"/>
    <w:rsid w:val="00151092"/>
    <w:rsid w:val="001510F8"/>
    <w:rsid w:val="001663AE"/>
    <w:rsid w:val="0016794B"/>
    <w:rsid w:val="00170975"/>
    <w:rsid w:val="00182DB8"/>
    <w:rsid w:val="00183089"/>
    <w:rsid w:val="001A0DAE"/>
    <w:rsid w:val="001A7FAB"/>
    <w:rsid w:val="001E316F"/>
    <w:rsid w:val="002104DA"/>
    <w:rsid w:val="002112D4"/>
    <w:rsid w:val="002609F2"/>
    <w:rsid w:val="00264533"/>
    <w:rsid w:val="00265A25"/>
    <w:rsid w:val="002924DE"/>
    <w:rsid w:val="002A67EE"/>
    <w:rsid w:val="00316F3F"/>
    <w:rsid w:val="003739C6"/>
    <w:rsid w:val="003771BC"/>
    <w:rsid w:val="004370F6"/>
    <w:rsid w:val="00452C8E"/>
    <w:rsid w:val="004549D6"/>
    <w:rsid w:val="0046054F"/>
    <w:rsid w:val="00465AF5"/>
    <w:rsid w:val="004B5AC1"/>
    <w:rsid w:val="004F0F51"/>
    <w:rsid w:val="00513106"/>
    <w:rsid w:val="005433D9"/>
    <w:rsid w:val="005708D5"/>
    <w:rsid w:val="0059596B"/>
    <w:rsid w:val="005B6E2A"/>
    <w:rsid w:val="005B7713"/>
    <w:rsid w:val="005C2B40"/>
    <w:rsid w:val="005F37E1"/>
    <w:rsid w:val="00605865"/>
    <w:rsid w:val="0061101D"/>
    <w:rsid w:val="00652982"/>
    <w:rsid w:val="00662176"/>
    <w:rsid w:val="00665881"/>
    <w:rsid w:val="006A0632"/>
    <w:rsid w:val="006A3C30"/>
    <w:rsid w:val="00704446"/>
    <w:rsid w:val="00736684"/>
    <w:rsid w:val="007421CD"/>
    <w:rsid w:val="007468D6"/>
    <w:rsid w:val="00750F14"/>
    <w:rsid w:val="0075360C"/>
    <w:rsid w:val="00753CD3"/>
    <w:rsid w:val="007715E0"/>
    <w:rsid w:val="007C2FCF"/>
    <w:rsid w:val="007E3966"/>
    <w:rsid w:val="008142DF"/>
    <w:rsid w:val="00815FFA"/>
    <w:rsid w:val="00823E22"/>
    <w:rsid w:val="00857921"/>
    <w:rsid w:val="008672A8"/>
    <w:rsid w:val="00890A39"/>
    <w:rsid w:val="0089562F"/>
    <w:rsid w:val="008A2E76"/>
    <w:rsid w:val="008A5C59"/>
    <w:rsid w:val="009226FF"/>
    <w:rsid w:val="009A04E1"/>
    <w:rsid w:val="00A34259"/>
    <w:rsid w:val="00A73571"/>
    <w:rsid w:val="00A769EE"/>
    <w:rsid w:val="00AC3DC7"/>
    <w:rsid w:val="00AD648B"/>
    <w:rsid w:val="00B06D48"/>
    <w:rsid w:val="00B1339E"/>
    <w:rsid w:val="00B760F2"/>
    <w:rsid w:val="00B801DC"/>
    <w:rsid w:val="00BA798C"/>
    <w:rsid w:val="00BC5C10"/>
    <w:rsid w:val="00BD42A8"/>
    <w:rsid w:val="00BD578B"/>
    <w:rsid w:val="00C318F2"/>
    <w:rsid w:val="00C51064"/>
    <w:rsid w:val="00C56182"/>
    <w:rsid w:val="00C932C7"/>
    <w:rsid w:val="00CC1205"/>
    <w:rsid w:val="00D27005"/>
    <w:rsid w:val="00D45FDA"/>
    <w:rsid w:val="00D50320"/>
    <w:rsid w:val="00D655C2"/>
    <w:rsid w:val="00D749B7"/>
    <w:rsid w:val="00D861FA"/>
    <w:rsid w:val="00DC1A63"/>
    <w:rsid w:val="00E70C61"/>
    <w:rsid w:val="00E83400"/>
    <w:rsid w:val="00E85BCC"/>
    <w:rsid w:val="00EA367B"/>
    <w:rsid w:val="00F0306D"/>
    <w:rsid w:val="00F449C1"/>
    <w:rsid w:val="00F614EF"/>
    <w:rsid w:val="00F703C9"/>
    <w:rsid w:val="00F734A9"/>
    <w:rsid w:val="00F94137"/>
    <w:rsid w:val="00F954C8"/>
    <w:rsid w:val="00F97FC7"/>
    <w:rsid w:val="00FD1FC1"/>
    <w:rsid w:val="00FD400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8.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http://tbn0.google.com/images?q=tbn:hdoFGoqqev9zlM:http://www.defmin.fi/files/703/textsize/EU_flag.png" TargetMode="External"/><Relationship Id="rId2" Type="http://schemas.openxmlformats.org/officeDocument/2006/relationships/image" Target="media/image4.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ombudsman.c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Jednom 86 branilaca</c:v>
                </c:pt>
              </c:strCache>
            </c:strRef>
          </c:tx>
          <c:invertIfNegative val="0"/>
          <c:dPt>
            <c:idx val="0"/>
            <c:invertIfNegative val="0"/>
            <c:bubble3D val="0"/>
            <c:spPr>
              <a:solidFill>
                <a:schemeClr val="accent5"/>
              </a:solidFill>
            </c:spPr>
          </c:dPt>
          <c:cat>
            <c:strRef>
              <c:f>Sheet1!$A$2</c:f>
              <c:strCache>
                <c:ptCount val="1"/>
                <c:pt idx="0">
                  <c:v>2015/2016</c:v>
                </c:pt>
              </c:strCache>
            </c:strRef>
          </c:cat>
          <c:val>
            <c:numRef>
              <c:f>Sheet1!$B$2</c:f>
              <c:numCache>
                <c:formatCode>0.00%</c:formatCode>
                <c:ptCount val="1"/>
                <c:pt idx="0">
                  <c:v>0.79600000000000004</c:v>
                </c:pt>
              </c:numCache>
            </c:numRef>
          </c:val>
        </c:ser>
        <c:ser>
          <c:idx val="1"/>
          <c:order val="1"/>
          <c:tx>
            <c:strRef>
              <c:f>Sheet1!$C$1</c:f>
              <c:strCache>
                <c:ptCount val="1"/>
                <c:pt idx="0">
                  <c:v>Dva puta 9 branilaca</c:v>
                </c:pt>
              </c:strCache>
            </c:strRef>
          </c:tx>
          <c:spPr>
            <a:solidFill>
              <a:srgbClr val="92D050"/>
            </a:solidFill>
          </c:spPr>
          <c:invertIfNegative val="0"/>
          <c:cat>
            <c:strRef>
              <c:f>Sheet1!$A$2</c:f>
              <c:strCache>
                <c:ptCount val="1"/>
                <c:pt idx="0">
                  <c:v>2015/2016</c:v>
                </c:pt>
              </c:strCache>
            </c:strRef>
          </c:cat>
          <c:val>
            <c:numRef>
              <c:f>Sheet1!$C$2</c:f>
              <c:numCache>
                <c:formatCode>0.00%</c:formatCode>
                <c:ptCount val="1"/>
                <c:pt idx="0">
                  <c:v>8.3000000000000004E-2</c:v>
                </c:pt>
              </c:numCache>
            </c:numRef>
          </c:val>
        </c:ser>
        <c:ser>
          <c:idx val="2"/>
          <c:order val="2"/>
          <c:tx>
            <c:strRef>
              <c:f>Sheet1!$D$1</c:f>
              <c:strCache>
                <c:ptCount val="1"/>
                <c:pt idx="0">
                  <c:v>Tri puta 6 branilaca</c:v>
                </c:pt>
              </c:strCache>
            </c:strRef>
          </c:tx>
          <c:spPr>
            <a:solidFill>
              <a:srgbClr val="C00000"/>
            </a:solidFill>
          </c:spPr>
          <c:invertIfNegative val="0"/>
          <c:cat>
            <c:strRef>
              <c:f>Sheet1!$A$2</c:f>
              <c:strCache>
                <c:ptCount val="1"/>
                <c:pt idx="0">
                  <c:v>2015/2016</c:v>
                </c:pt>
              </c:strCache>
            </c:strRef>
          </c:cat>
          <c:val>
            <c:numRef>
              <c:f>Sheet1!$D$2</c:f>
              <c:numCache>
                <c:formatCode>0.00%</c:formatCode>
                <c:ptCount val="1"/>
                <c:pt idx="0">
                  <c:v>5.6000000000000001E-2</c:v>
                </c:pt>
              </c:numCache>
            </c:numRef>
          </c:val>
        </c:ser>
        <c:ser>
          <c:idx val="3"/>
          <c:order val="3"/>
          <c:tx>
            <c:strRef>
              <c:f>Sheet1!$E$1</c:f>
              <c:strCache>
                <c:ptCount val="1"/>
                <c:pt idx="0">
                  <c:v>Četiri puta 3 branilaca</c:v>
                </c:pt>
              </c:strCache>
            </c:strRef>
          </c:tx>
          <c:spPr>
            <a:solidFill>
              <a:schemeClr val="bg1">
                <a:lumMod val="85000"/>
              </a:schemeClr>
            </a:solidFill>
          </c:spPr>
          <c:invertIfNegative val="0"/>
          <c:cat>
            <c:strRef>
              <c:f>Sheet1!$A$2</c:f>
              <c:strCache>
                <c:ptCount val="1"/>
                <c:pt idx="0">
                  <c:v>2015/2016</c:v>
                </c:pt>
              </c:strCache>
            </c:strRef>
          </c:cat>
          <c:val>
            <c:numRef>
              <c:f>Sheet1!$E$2</c:f>
              <c:numCache>
                <c:formatCode>0.00%</c:formatCode>
                <c:ptCount val="1"/>
                <c:pt idx="0">
                  <c:v>2.8000000000000001E-2</c:v>
                </c:pt>
              </c:numCache>
            </c:numRef>
          </c:val>
        </c:ser>
        <c:ser>
          <c:idx val="4"/>
          <c:order val="4"/>
          <c:tx>
            <c:strRef>
              <c:f>Sheet1!$F$1</c:f>
              <c:strCache>
                <c:ptCount val="1"/>
                <c:pt idx="0">
                  <c:v>Pet puta 2 branilaca</c:v>
                </c:pt>
              </c:strCache>
            </c:strRef>
          </c:tx>
          <c:spPr>
            <a:solidFill>
              <a:srgbClr val="FFC000"/>
            </a:solidFill>
          </c:spPr>
          <c:invertIfNegative val="0"/>
          <c:cat>
            <c:strRef>
              <c:f>Sheet1!$A$2</c:f>
              <c:strCache>
                <c:ptCount val="1"/>
                <c:pt idx="0">
                  <c:v>2015/2016</c:v>
                </c:pt>
              </c:strCache>
            </c:strRef>
          </c:cat>
          <c:val>
            <c:numRef>
              <c:f>Sheet1!$F$2</c:f>
              <c:numCache>
                <c:formatCode>0.00%</c:formatCode>
                <c:ptCount val="1"/>
                <c:pt idx="0">
                  <c:v>1.9E-2</c:v>
                </c:pt>
              </c:numCache>
            </c:numRef>
          </c:val>
        </c:ser>
        <c:ser>
          <c:idx val="5"/>
          <c:order val="5"/>
          <c:tx>
            <c:strRef>
              <c:f>Sheet1!$G$1</c:f>
              <c:strCache>
                <c:ptCount val="1"/>
                <c:pt idx="0">
                  <c:v>Šest puta 1 branilac</c:v>
                </c:pt>
              </c:strCache>
            </c:strRef>
          </c:tx>
          <c:invertIfNegative val="0"/>
          <c:cat>
            <c:strRef>
              <c:f>Sheet1!$A$2</c:f>
              <c:strCache>
                <c:ptCount val="1"/>
                <c:pt idx="0">
                  <c:v>2015/2016</c:v>
                </c:pt>
              </c:strCache>
            </c:strRef>
          </c:cat>
          <c:val>
            <c:numRef>
              <c:f>Sheet1!$G$2</c:f>
              <c:numCache>
                <c:formatCode>0.00%</c:formatCode>
                <c:ptCount val="1"/>
                <c:pt idx="0">
                  <c:v>8.9999999999999993E-3</c:v>
                </c:pt>
              </c:numCache>
            </c:numRef>
          </c:val>
        </c:ser>
        <c:ser>
          <c:idx val="6"/>
          <c:order val="6"/>
          <c:tx>
            <c:strRef>
              <c:f>Sheet1!$H$1</c:f>
              <c:strCache>
                <c:ptCount val="1"/>
                <c:pt idx="0">
                  <c:v>Osam puta 1 branilac</c:v>
                </c:pt>
              </c:strCache>
            </c:strRef>
          </c:tx>
          <c:spPr>
            <a:solidFill>
              <a:srgbClr val="FF0000"/>
            </a:solidFill>
          </c:spPr>
          <c:invertIfNegative val="0"/>
          <c:cat>
            <c:strRef>
              <c:f>Sheet1!$A$2</c:f>
              <c:strCache>
                <c:ptCount val="1"/>
                <c:pt idx="0">
                  <c:v>2015/2016</c:v>
                </c:pt>
              </c:strCache>
            </c:strRef>
          </c:cat>
          <c:val>
            <c:numRef>
              <c:f>Sheet1!$H$2</c:f>
              <c:numCache>
                <c:formatCode>0.00%</c:formatCode>
                <c:ptCount val="1"/>
                <c:pt idx="0">
                  <c:v>8.9999999999999993E-3</c:v>
                </c:pt>
              </c:numCache>
            </c:numRef>
          </c:val>
        </c:ser>
        <c:dLbls>
          <c:showLegendKey val="0"/>
          <c:showVal val="0"/>
          <c:showCatName val="0"/>
          <c:showSerName val="0"/>
          <c:showPercent val="0"/>
          <c:showBubbleSize val="0"/>
        </c:dLbls>
        <c:gapWidth val="95"/>
        <c:overlap val="100"/>
        <c:axId val="194257280"/>
        <c:axId val="194258816"/>
      </c:barChart>
      <c:catAx>
        <c:axId val="194257280"/>
        <c:scaling>
          <c:orientation val="minMax"/>
        </c:scaling>
        <c:delete val="0"/>
        <c:axPos val="l"/>
        <c:numFmt formatCode="General" sourceLinked="1"/>
        <c:majorTickMark val="none"/>
        <c:minorTickMark val="none"/>
        <c:tickLblPos val="nextTo"/>
        <c:crossAx val="194258816"/>
        <c:crosses val="autoZero"/>
        <c:auto val="1"/>
        <c:lblAlgn val="ctr"/>
        <c:lblOffset val="100"/>
        <c:noMultiLvlLbl val="0"/>
      </c:catAx>
      <c:valAx>
        <c:axId val="194258816"/>
        <c:scaling>
          <c:orientation val="minMax"/>
        </c:scaling>
        <c:delete val="0"/>
        <c:axPos val="b"/>
        <c:majorGridlines/>
        <c:numFmt formatCode="0%" sourceLinked="1"/>
        <c:majorTickMark val="none"/>
        <c:minorTickMark val="none"/>
        <c:tickLblPos val="nextTo"/>
        <c:crossAx val="19425728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413435968725247E-2"/>
          <c:y val="0.32486151495214044"/>
          <c:w val="0.90843197465929404"/>
          <c:h val="0.43255088396969249"/>
        </c:manualLayout>
      </c:layout>
      <c:barChart>
        <c:barDir val="bar"/>
        <c:grouping val="clustered"/>
        <c:varyColors val="0"/>
        <c:ser>
          <c:idx val="0"/>
          <c:order val="0"/>
          <c:tx>
            <c:strRef>
              <c:f>Sheet1!$B$1</c:f>
              <c:strCache>
                <c:ptCount val="1"/>
                <c:pt idx="0">
                  <c:v>Smatra da su godine iskustva važan kriterijum</c:v>
                </c:pt>
              </c:strCache>
            </c:strRef>
          </c:tx>
          <c:spPr>
            <a:solidFill>
              <a:srgbClr val="FF9933"/>
            </a:solidFill>
            <a:ln w="25329">
              <a:noFill/>
            </a:ln>
          </c:spPr>
          <c:invertIfNegative val="0"/>
          <c:dLbls>
            <c:spPr>
              <a:noFill/>
              <a:ln w="25329">
                <a:noFill/>
              </a:ln>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Da</c:v>
                </c:pt>
              </c:strCache>
            </c:strRef>
          </c:cat>
          <c:val>
            <c:numRef>
              <c:f>Sheet1!$B$2</c:f>
              <c:numCache>
                <c:formatCode>0.0%</c:formatCode>
                <c:ptCount val="1"/>
                <c:pt idx="0">
                  <c:v>0.4</c:v>
                </c:pt>
              </c:numCache>
            </c:numRef>
          </c:val>
        </c:ser>
        <c:dLbls>
          <c:showLegendKey val="0"/>
          <c:showVal val="0"/>
          <c:showCatName val="0"/>
          <c:showSerName val="0"/>
          <c:showPercent val="0"/>
          <c:showBubbleSize val="0"/>
        </c:dLbls>
        <c:gapWidth val="150"/>
        <c:overlap val="-25"/>
        <c:axId val="255376000"/>
        <c:axId val="255545728"/>
      </c:barChart>
      <c:catAx>
        <c:axId val="255376000"/>
        <c:scaling>
          <c:orientation val="minMax"/>
        </c:scaling>
        <c:delete val="0"/>
        <c:axPos val="l"/>
        <c:numFmt formatCode="General" sourceLinked="1"/>
        <c:majorTickMark val="none"/>
        <c:minorTickMark val="none"/>
        <c:tickLblPos val="nextTo"/>
        <c:spPr>
          <a:noFill/>
          <a:ln w="9498"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55545728"/>
        <c:crosses val="autoZero"/>
        <c:auto val="1"/>
        <c:lblAlgn val="ctr"/>
        <c:lblOffset val="100"/>
        <c:noMultiLvlLbl val="0"/>
      </c:catAx>
      <c:valAx>
        <c:axId val="255545728"/>
        <c:scaling>
          <c:orientation val="minMax"/>
        </c:scaling>
        <c:delete val="1"/>
        <c:axPos val="b"/>
        <c:numFmt formatCode="0.0%" sourceLinked="1"/>
        <c:majorTickMark val="out"/>
        <c:minorTickMark val="none"/>
        <c:tickLblPos val="nextTo"/>
        <c:crossAx val="255376000"/>
        <c:crosses val="autoZero"/>
        <c:crossBetween val="between"/>
      </c:valAx>
      <c:spPr>
        <a:noFill/>
        <a:ln w="25329">
          <a:noFill/>
        </a:ln>
      </c:spPr>
    </c:plotArea>
    <c:legend>
      <c:legendPos val="t"/>
      <c:layout>
        <c:manualLayout>
          <c:xMode val="edge"/>
          <c:yMode val="edge"/>
          <c:x val="3.137155594244187E-2"/>
          <c:y val="5.3908300524934387E-2"/>
          <c:w val="0.79565966314512193"/>
          <c:h val="0.17212106299212598"/>
        </c:manualLayout>
      </c:layout>
      <c:overlay val="0"/>
      <c:spPr>
        <a:noFill/>
        <a:ln w="25329">
          <a:noFill/>
        </a:ln>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457978960691854E-2"/>
          <c:y val="0.32486151495214044"/>
          <c:w val="0.89750502951909183"/>
          <c:h val="0.49209647273178303"/>
        </c:manualLayout>
      </c:layout>
      <c:barChart>
        <c:barDir val="bar"/>
        <c:grouping val="clustered"/>
        <c:varyColors val="0"/>
        <c:ser>
          <c:idx val="0"/>
          <c:order val="0"/>
          <c:tx>
            <c:strRef>
              <c:f>Sheet1!$B$1</c:f>
              <c:strCache>
                <c:ptCount val="1"/>
                <c:pt idx="0">
                  <c:v>Navodi da su kriterijumi uzrok diskriminacije </c:v>
                </c:pt>
              </c:strCache>
            </c:strRef>
          </c:tx>
          <c:spPr>
            <a:solidFill>
              <a:srgbClr val="4F81BD"/>
            </a:solidFill>
            <a:ln w="25411">
              <a:noFill/>
            </a:ln>
          </c:spPr>
          <c:invertIfNegative val="0"/>
          <c:dLbls>
            <c:spPr>
              <a:noFill/>
              <a:ln w="25411">
                <a:noFill/>
              </a:ln>
            </c:spPr>
            <c:txPr>
              <a:bodyPr rot="0" spcFirstLastPara="1" vertOverflow="ellipsis" vert="horz" wrap="square" lIns="38100" tIns="19050" rIns="38100" bIns="19050" anchor="ctr" anchorCtr="1">
                <a:spAutoFit/>
              </a:bodyPr>
              <a:lstStyle/>
              <a:p>
                <a:pPr>
                  <a:defRPr sz="1201"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Ne</c:v>
                </c:pt>
              </c:strCache>
            </c:strRef>
          </c:cat>
          <c:val>
            <c:numRef>
              <c:f>Sheet1!$B$2</c:f>
              <c:numCache>
                <c:formatCode>0.0%</c:formatCode>
                <c:ptCount val="1"/>
                <c:pt idx="0">
                  <c:v>0.314</c:v>
                </c:pt>
              </c:numCache>
            </c:numRef>
          </c:val>
        </c:ser>
        <c:dLbls>
          <c:showLegendKey val="0"/>
          <c:showVal val="0"/>
          <c:showCatName val="0"/>
          <c:showSerName val="0"/>
          <c:showPercent val="0"/>
          <c:showBubbleSize val="0"/>
        </c:dLbls>
        <c:gapWidth val="150"/>
        <c:overlap val="-25"/>
        <c:axId val="171147648"/>
        <c:axId val="171149184"/>
      </c:barChart>
      <c:catAx>
        <c:axId val="171147648"/>
        <c:scaling>
          <c:orientation val="minMax"/>
        </c:scaling>
        <c:delete val="0"/>
        <c:axPos val="l"/>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71149184"/>
        <c:crosses val="autoZero"/>
        <c:auto val="1"/>
        <c:lblAlgn val="ctr"/>
        <c:lblOffset val="100"/>
        <c:noMultiLvlLbl val="0"/>
      </c:catAx>
      <c:valAx>
        <c:axId val="171149184"/>
        <c:scaling>
          <c:orientation val="minMax"/>
        </c:scaling>
        <c:delete val="1"/>
        <c:axPos val="b"/>
        <c:numFmt formatCode="0.0%" sourceLinked="1"/>
        <c:majorTickMark val="out"/>
        <c:minorTickMark val="none"/>
        <c:tickLblPos val="nextTo"/>
        <c:crossAx val="171147648"/>
        <c:crosses val="autoZero"/>
        <c:crossBetween val="between"/>
      </c:valAx>
      <c:spPr>
        <a:noFill/>
        <a:ln w="25411">
          <a:noFill/>
        </a:ln>
      </c:spPr>
    </c:plotArea>
    <c:legend>
      <c:legendPos val="t"/>
      <c:layout>
        <c:manualLayout>
          <c:xMode val="edge"/>
          <c:yMode val="edge"/>
          <c:x val="3.1371539083930297E-2"/>
          <c:y val="5.39084384363459E-2"/>
          <c:w val="0.91862846091606964"/>
          <c:h val="0.17212087427124706"/>
        </c:manualLayout>
      </c:layout>
      <c:overlay val="0"/>
      <c:spPr>
        <a:noFill/>
        <a:ln w="25411">
          <a:noFill/>
        </a:ln>
      </c:spPr>
      <c:txPr>
        <a:bodyPr rot="0" spcFirstLastPara="1" vertOverflow="ellipsis" vert="horz" wrap="square" anchor="ctr" anchorCtr="1"/>
        <a:lstStyle/>
        <a:p>
          <a:pPr>
            <a:defRPr sz="1201"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129309700320884"/>
          <c:y val="0.10741333557348007"/>
          <c:w val="0.50121175510106442"/>
          <c:h val="0.50283503569483812"/>
        </c:manualLayout>
      </c:layout>
      <c:pieChart>
        <c:varyColors val="1"/>
        <c:ser>
          <c:idx val="0"/>
          <c:order val="0"/>
          <c:tx>
            <c:strRef>
              <c:f>Sheet1!$B$1</c:f>
              <c:strCache>
                <c:ptCount val="1"/>
                <c:pt idx="0">
                  <c:v>Sugestije</c:v>
                </c:pt>
              </c:strCache>
            </c:strRef>
          </c:tx>
          <c:dPt>
            <c:idx val="0"/>
            <c:bubble3D val="0"/>
            <c:spPr>
              <a:solidFill>
                <a:srgbClr val="FF9933"/>
              </a:solidFill>
              <a:ln w="19050">
                <a:solidFill>
                  <a:schemeClr val="lt1"/>
                </a:solidFill>
              </a:ln>
              <a:effectLst/>
            </c:spPr>
          </c:dPt>
          <c:dPt>
            <c:idx val="1"/>
            <c:bubble3D val="0"/>
            <c:spPr>
              <a:solidFill>
                <a:schemeClr val="bg2">
                  <a:lumMod val="75000"/>
                </a:schemeClr>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tx2">
                  <a:lumMod val="75000"/>
                </a:schemeClr>
              </a:solidFill>
              <a:ln w="19050">
                <a:solidFill>
                  <a:schemeClr val="lt1"/>
                </a:solidFill>
              </a:ln>
              <a:effectLst/>
            </c:spPr>
          </c:dPt>
          <c:dPt>
            <c:idx val="5"/>
            <c:bubble3D val="0"/>
            <c:spPr>
              <a:solidFill>
                <a:srgbClr val="C00000"/>
              </a:solidFill>
              <a:ln w="19050">
                <a:solidFill>
                  <a:schemeClr val="lt1"/>
                </a:solidFill>
              </a:ln>
              <a:effectLst/>
            </c:spPr>
          </c:dPt>
          <c:dPt>
            <c:idx val="6"/>
            <c:bubble3D val="0"/>
            <c:spPr>
              <a:solidFill>
                <a:schemeClr val="accent2">
                  <a:lumMod val="50000"/>
                </a:schemeClr>
              </a:solidFill>
              <a:ln w="19050">
                <a:solidFill>
                  <a:schemeClr val="lt1"/>
                </a:solidFill>
              </a:ln>
              <a:effectLst/>
            </c:spPr>
          </c:dPt>
          <c:dPt>
            <c:idx val="7"/>
            <c:bubble3D val="0"/>
            <c:spPr>
              <a:solidFill>
                <a:schemeClr val="accent1"/>
              </a:solidFill>
              <a:ln w="19050">
                <a:solidFill>
                  <a:schemeClr val="lt1"/>
                </a:solidFill>
              </a:ln>
              <a:effectLst/>
            </c:spPr>
          </c:dPt>
          <c:dLbls>
            <c:dLbl>
              <c:idx val="0"/>
              <c:layout>
                <c:manualLayout>
                  <c:x val="-8.7906235278282521E-2"/>
                  <c:y val="-1.938667249614485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dLbl>
            <c:dLbl>
              <c:idx val="1"/>
              <c:layout>
                <c:manualLayout>
                  <c:x val="3.3135473450434078E-2"/>
                  <c:y val="-2.8969608780679688E-2"/>
                </c:manualLayout>
              </c:layout>
              <c:dLblPos val="bestFit"/>
              <c:showLegendKey val="0"/>
              <c:showVal val="0"/>
              <c:showCatName val="1"/>
              <c:showSerName val="0"/>
              <c:showPercent val="1"/>
              <c:showBubbleSize val="0"/>
            </c:dLbl>
            <c:dLbl>
              <c:idx val="2"/>
              <c:layout>
                <c:manualLayout>
                  <c:x val="1.9230853354868946E-2"/>
                  <c:y val="-6.002787008253832E-2"/>
                </c:manualLayout>
              </c:layout>
              <c:dLblPos val="bestFit"/>
              <c:showLegendKey val="0"/>
              <c:showVal val="0"/>
              <c:showCatName val="1"/>
              <c:showSerName val="0"/>
              <c:showPercent val="1"/>
              <c:showBubbleSize val="0"/>
            </c:dLbl>
            <c:dLbl>
              <c:idx val="3"/>
              <c:layout>
                <c:manualLayout>
                  <c:x val="2.8078421389280198E-2"/>
                  <c:y val="-4.831045009930088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dLbl>
            <c:dLbl>
              <c:idx val="4"/>
              <c:layout>
                <c:manualLayout>
                  <c:x val="9.5494313210848641E-3"/>
                  <c:y val="-1.214931341857546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dLbl>
            <c:dLbl>
              <c:idx val="5"/>
              <c:layout>
                <c:manualLayout>
                  <c:x val="-2.5313109899724073E-2"/>
                  <c:y val="1.826883066350546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dLbl>
            <c:dLbl>
              <c:idx val="6"/>
              <c:layout>
                <c:manualLayout>
                  <c:x val="-5.341888754290329E-2"/>
                  <c:y val="4.2877894095374423E-3"/>
                </c:manualLayout>
              </c:layout>
              <c:dLblPos val="bestFit"/>
              <c:showLegendKey val="0"/>
              <c:showVal val="0"/>
              <c:showCatName val="1"/>
              <c:showSerName val="0"/>
              <c:showPercent val="1"/>
              <c:showBubbleSize val="0"/>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0"/>
          </c:dLbls>
          <c:cat>
            <c:strRef>
              <c:f>Sheet1!$A$2:$A$9</c:f>
              <c:strCache>
                <c:ptCount val="8"/>
                <c:pt idx="0">
                  <c:v>Transparentnost</c:v>
                </c:pt>
                <c:pt idx="1">
                  <c:v>Poboljšati proceduru kontaktiranja advokata</c:v>
                </c:pt>
                <c:pt idx="2">
                  <c:v>AT u punoj vrijednosti</c:v>
                </c:pt>
                <c:pt idx="3">
                  <c:v>Uspješno ažuriranje i sinhronizovanje podataka</c:v>
                </c:pt>
                <c:pt idx="4">
                  <c:v>Besplatne edukacije</c:v>
                </c:pt>
                <c:pt idx="5">
                  <c:v>Zadovoljni dosadasnjom praksom</c:v>
                </c:pt>
                <c:pt idx="6">
                  <c:v>Drugo</c:v>
                </c:pt>
                <c:pt idx="7">
                  <c:v>Nepoštovanje redoslijeda sa spiska</c:v>
                </c:pt>
              </c:strCache>
            </c:strRef>
          </c:cat>
          <c:val>
            <c:numRef>
              <c:f>Sheet1!$B$2:$B$9</c:f>
              <c:numCache>
                <c:formatCode>0.0%</c:formatCode>
                <c:ptCount val="8"/>
                <c:pt idx="0">
                  <c:v>0.13300000000000001</c:v>
                </c:pt>
                <c:pt idx="1">
                  <c:v>8.3000000000000004E-2</c:v>
                </c:pt>
                <c:pt idx="2">
                  <c:v>6.7000000000000004E-2</c:v>
                </c:pt>
                <c:pt idx="3">
                  <c:v>0.05</c:v>
                </c:pt>
                <c:pt idx="4">
                  <c:v>0.05</c:v>
                </c:pt>
                <c:pt idx="5">
                  <c:v>8.3000000000000004E-2</c:v>
                </c:pt>
                <c:pt idx="6">
                  <c:v>8.4000000000000005E-2</c:v>
                </c:pt>
                <c:pt idx="7">
                  <c:v>0.45</c:v>
                </c:pt>
              </c:numCache>
            </c:numRef>
          </c:val>
        </c:ser>
        <c:dLbls>
          <c:showLegendKey val="0"/>
          <c:showVal val="0"/>
          <c:showCatName val="0"/>
          <c:showSerName val="0"/>
          <c:showPercent val="0"/>
          <c:showBubbleSize val="0"/>
          <c:showLeaderLines val="0"/>
        </c:dLbls>
        <c:firstSliceAng val="0"/>
      </c:pieChart>
      <c:spPr>
        <a:noFill/>
        <a:ln w="25400">
          <a:noFill/>
        </a:ln>
      </c:spPr>
    </c:plotArea>
    <c:legend>
      <c:legendPos val="b"/>
      <c:layout>
        <c:manualLayout>
          <c:xMode val="edge"/>
          <c:yMode val="edge"/>
          <c:x val="4.2964298137431613E-2"/>
          <c:y val="0.74332098193608154"/>
          <c:w val="0.93611785725579488"/>
          <c:h val="0.25391933851405835"/>
        </c:manualLayout>
      </c:layout>
      <c:overlay val="0"/>
      <c:spPr>
        <a:noFill/>
        <a:ln>
          <a:solidFill>
            <a:sysClr val="windowText" lastClr="000000">
              <a:lumMod val="25000"/>
              <a:lumOff val="75000"/>
            </a:sysClr>
          </a:solid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48">
                <a:solidFill>
                  <a:schemeClr val="lt1"/>
                </a:solidFill>
              </a:ln>
              <a:effectLst/>
            </c:spPr>
          </c:dPt>
          <c:dPt>
            <c:idx val="1"/>
            <c:bubble3D val="0"/>
            <c:spPr>
              <a:solidFill>
                <a:schemeClr val="accent6"/>
              </a:solidFill>
              <a:ln w="19048">
                <a:solidFill>
                  <a:schemeClr val="lt1"/>
                </a:solidFill>
              </a:ln>
              <a:effectLst/>
            </c:spPr>
          </c:dPt>
          <c:dLbls>
            <c:dLbl>
              <c:idx val="0"/>
              <c:layout>
                <c:manualLayout>
                  <c:x val="9.1688538932633429E-3"/>
                  <c:y val="-0.35085489313835772"/>
                </c:manualLayout>
              </c:layout>
              <c:spPr>
                <a:noFill/>
                <a:ln w="2539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0"/>
              <c:showSerName val="0"/>
              <c:showPercent val="0"/>
              <c:showBubbleSize val="0"/>
            </c:dLbl>
            <c:dLbl>
              <c:idx val="1"/>
              <c:layout>
                <c:manualLayout>
                  <c:x val="-2.0165864683581218E-2"/>
                  <c:y val="5.2808398950131237E-2"/>
                </c:manualLayout>
              </c:layout>
              <c:spPr>
                <a:noFill/>
                <a:ln w="2539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Sheet1!$A$2:$A$3</c:f>
              <c:strCache>
                <c:ptCount val="2"/>
                <c:pt idx="0">
                  <c:v>Da</c:v>
                </c:pt>
                <c:pt idx="1">
                  <c:v>Ne</c:v>
                </c:pt>
              </c:strCache>
            </c:strRef>
          </c:cat>
          <c:val>
            <c:numRef>
              <c:f>Sheet1!$B$2:$B$3</c:f>
              <c:numCache>
                <c:formatCode>0.0%</c:formatCode>
                <c:ptCount val="2"/>
                <c:pt idx="0">
                  <c:v>0.67500000000000004</c:v>
                </c:pt>
                <c:pt idx="1">
                  <c:v>0.32500000000000001</c:v>
                </c:pt>
              </c:numCache>
            </c:numRef>
          </c:val>
        </c:ser>
        <c:dLbls>
          <c:showLegendKey val="0"/>
          <c:showVal val="0"/>
          <c:showCatName val="0"/>
          <c:showSerName val="0"/>
          <c:showPercent val="0"/>
          <c:showBubbleSize val="0"/>
          <c:showLeaderLines val="0"/>
        </c:dLbls>
        <c:firstSliceAng val="0"/>
      </c:pieChart>
      <c:spPr>
        <a:noFill/>
        <a:ln w="25398">
          <a:noFill/>
        </a:ln>
      </c:spPr>
    </c:plotArea>
    <c:legend>
      <c:legendPos val="b"/>
      <c:overlay val="0"/>
      <c:spPr>
        <a:noFill/>
        <a:ln w="25398">
          <a:noFill/>
        </a:ln>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48">
                <a:solidFill>
                  <a:schemeClr val="lt1"/>
                </a:solidFill>
              </a:ln>
              <a:effectLst/>
            </c:spPr>
          </c:dPt>
          <c:dPt>
            <c:idx val="1"/>
            <c:bubble3D val="0"/>
            <c:spPr>
              <a:solidFill>
                <a:schemeClr val="accent6"/>
              </a:solidFill>
              <a:ln w="19048">
                <a:solidFill>
                  <a:schemeClr val="lt1"/>
                </a:solidFill>
              </a:ln>
              <a:effectLst/>
            </c:spPr>
          </c:dPt>
          <c:dLbls>
            <c:dLbl>
              <c:idx val="0"/>
              <c:layout>
                <c:manualLayout>
                  <c:x val="1.7574730242053076E-2"/>
                  <c:y val="-0.38915635545556804"/>
                </c:manualLayout>
              </c:layout>
              <c:dLblPos val="bestFit"/>
              <c:showLegendKey val="0"/>
              <c:showVal val="1"/>
              <c:showCatName val="0"/>
              <c:showSerName val="0"/>
              <c:showPercent val="0"/>
              <c:showBubbleSize val="0"/>
            </c:dLbl>
            <c:dLbl>
              <c:idx val="1"/>
              <c:layout>
                <c:manualLayout>
                  <c:x val="-1.6997666958296881E-2"/>
                  <c:y val="8.144700662417198E-2"/>
                </c:manualLayout>
              </c:layout>
              <c:dLblPos val="bestFit"/>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1"/>
            <c:leaderLines>
              <c:spPr>
                <a:ln w="9524" cap="flat" cmpd="sng" algn="ctr">
                  <a:solidFill>
                    <a:schemeClr val="tx1">
                      <a:lumMod val="35000"/>
                      <a:lumOff val="65000"/>
                    </a:schemeClr>
                  </a:solidFill>
                  <a:round/>
                </a:ln>
                <a:effectLst/>
              </c:spPr>
            </c:leaderLines>
          </c:dLbls>
          <c:cat>
            <c:strRef>
              <c:f>Sheet1!$A$2:$A$3</c:f>
              <c:strCache>
                <c:ptCount val="2"/>
                <c:pt idx="0">
                  <c:v>Ne</c:v>
                </c:pt>
                <c:pt idx="1">
                  <c:v>Da</c:v>
                </c:pt>
              </c:strCache>
            </c:strRef>
          </c:cat>
          <c:val>
            <c:numRef>
              <c:f>Sheet1!$B$2:$B$3</c:f>
              <c:numCache>
                <c:formatCode>0.0%</c:formatCode>
                <c:ptCount val="2"/>
                <c:pt idx="0">
                  <c:v>0.7</c:v>
                </c:pt>
                <c:pt idx="1">
                  <c:v>0.3</c:v>
                </c:pt>
              </c:numCache>
            </c:numRef>
          </c:val>
        </c:ser>
        <c:dLbls>
          <c:showLegendKey val="0"/>
          <c:showVal val="0"/>
          <c:showCatName val="0"/>
          <c:showSerName val="0"/>
          <c:showPercent val="0"/>
          <c:showBubbleSize val="0"/>
          <c:showLeaderLines val="1"/>
        </c:dLbls>
        <c:firstSliceAng val="0"/>
      </c:pieChart>
      <c:spPr>
        <a:noFill/>
        <a:ln w="25398">
          <a:noFill/>
        </a:ln>
      </c:spPr>
    </c:plotArea>
    <c:legend>
      <c:legendPos val="b"/>
      <c:overlay val="0"/>
      <c:spPr>
        <a:noFill/>
        <a:ln w="25398">
          <a:noFill/>
        </a:ln>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48623869932925"/>
          <c:y val="4.3650793650793648E-2"/>
          <c:w val="0.64534011373578304"/>
          <c:h val="0.77351831021122364"/>
        </c:manualLayout>
      </c:layout>
      <c:barChart>
        <c:barDir val="bar"/>
        <c:grouping val="clustered"/>
        <c:varyColors val="0"/>
        <c:ser>
          <c:idx val="0"/>
          <c:order val="0"/>
          <c:tx>
            <c:strRef>
              <c:f>Sheet1!$B$1</c:f>
              <c:strCache>
                <c:ptCount val="1"/>
                <c:pt idx="0">
                  <c:v>Series 1</c:v>
                </c:pt>
              </c:strCache>
            </c:strRef>
          </c:tx>
          <c:spPr>
            <a:solidFill>
              <a:srgbClr val="4F81BD"/>
            </a:solidFill>
            <a:ln w="25398">
              <a:noFill/>
            </a:ln>
          </c:spPr>
          <c:invertIfNegative val="0"/>
          <c:dPt>
            <c:idx val="0"/>
            <c:invertIfNegative val="0"/>
            <c:bubble3D val="0"/>
            <c:spPr>
              <a:solidFill>
                <a:srgbClr val="FFC000"/>
              </a:solidFill>
              <a:ln w="25398">
                <a:noFill/>
              </a:ln>
            </c:spPr>
          </c:dPt>
          <c:dPt>
            <c:idx val="1"/>
            <c:invertIfNegative val="0"/>
            <c:bubble3D val="0"/>
            <c:spPr>
              <a:solidFill>
                <a:schemeClr val="accent5">
                  <a:lumMod val="50000"/>
                </a:schemeClr>
              </a:solidFill>
              <a:ln>
                <a:noFill/>
              </a:ln>
              <a:effectLst/>
            </c:spPr>
          </c:dPt>
          <c:dPt>
            <c:idx val="3"/>
            <c:invertIfNegative val="0"/>
            <c:bubble3D val="0"/>
            <c:spPr>
              <a:solidFill>
                <a:srgbClr val="C00000"/>
              </a:solidFill>
              <a:ln w="25398">
                <a:noFill/>
              </a:ln>
            </c:spPr>
          </c:dPt>
          <c:dLbls>
            <c:spPr>
              <a:noFill/>
              <a:ln w="2539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Sheet1!$A$2:$A$5</c:f>
              <c:strCache>
                <c:ptCount val="4"/>
                <c:pt idx="0">
                  <c:v>Uopšte nema</c:v>
                </c:pt>
                <c:pt idx="1">
                  <c:v>Vrlo malo, 1 ili 2 slučaja</c:v>
                </c:pt>
                <c:pt idx="2">
                  <c:v>Često</c:v>
                </c:pt>
                <c:pt idx="3">
                  <c:v>Vrlo često</c:v>
                </c:pt>
              </c:strCache>
            </c:strRef>
          </c:cat>
          <c:val>
            <c:numRef>
              <c:f>Sheet1!$B$2:$B$5</c:f>
              <c:numCache>
                <c:formatCode>0.0%</c:formatCode>
                <c:ptCount val="4"/>
                <c:pt idx="0">
                  <c:v>0.7</c:v>
                </c:pt>
                <c:pt idx="1">
                  <c:v>0.17499999999999999</c:v>
                </c:pt>
                <c:pt idx="2">
                  <c:v>7.4999999999999997E-2</c:v>
                </c:pt>
                <c:pt idx="3">
                  <c:v>0.05</c:v>
                </c:pt>
              </c:numCache>
            </c:numRef>
          </c:val>
        </c:ser>
        <c:dLbls>
          <c:showLegendKey val="0"/>
          <c:showVal val="0"/>
          <c:showCatName val="0"/>
          <c:showSerName val="0"/>
          <c:showPercent val="0"/>
          <c:showBubbleSize val="0"/>
        </c:dLbls>
        <c:gapWidth val="182"/>
        <c:axId val="171467136"/>
        <c:axId val="171468672"/>
      </c:barChart>
      <c:catAx>
        <c:axId val="171467136"/>
        <c:scaling>
          <c:orientation val="minMax"/>
        </c:scaling>
        <c:delete val="0"/>
        <c:axPos val="l"/>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71468672"/>
        <c:crosses val="autoZero"/>
        <c:auto val="1"/>
        <c:lblAlgn val="ctr"/>
        <c:lblOffset val="100"/>
        <c:noMultiLvlLbl val="0"/>
      </c:catAx>
      <c:valAx>
        <c:axId val="171468672"/>
        <c:scaling>
          <c:orientation val="minMax"/>
        </c:scaling>
        <c:delete val="0"/>
        <c:axPos val="b"/>
        <c:numFmt formatCode="0.0%" sourceLinked="1"/>
        <c:majorTickMark val="none"/>
        <c:minorTickMark val="none"/>
        <c:tickLblPos val="nextTo"/>
        <c:spPr>
          <a:ln w="9524">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1467136"/>
        <c:crosses val="autoZero"/>
        <c:crossBetween val="between"/>
      </c:valAx>
      <c:spPr>
        <a:noFill/>
        <a:ln w="25398">
          <a:noFill/>
        </a:ln>
      </c:spPr>
    </c:plotArea>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190215806357537E-2"/>
          <c:y val="4.400793650793651E-2"/>
          <c:w val="0.88834682123067954"/>
          <c:h val="0.77316116735408069"/>
        </c:manualLayout>
      </c:layout>
      <c:barChart>
        <c:barDir val="col"/>
        <c:grouping val="clustered"/>
        <c:varyColors val="0"/>
        <c:ser>
          <c:idx val="0"/>
          <c:order val="0"/>
          <c:tx>
            <c:strRef>
              <c:f>Sheet1!$B$1</c:f>
              <c:strCache>
                <c:ptCount val="1"/>
                <c:pt idx="0">
                  <c:v>Povećanje nagrada</c:v>
                </c:pt>
              </c:strCache>
            </c:strRef>
          </c:tx>
          <c:spPr>
            <a:solidFill>
              <a:srgbClr val="4F81BD"/>
            </a:solidFill>
            <a:ln w="25390">
              <a:noFill/>
            </a:ln>
          </c:spPr>
          <c:invertIfNegative val="0"/>
          <c:dLbls>
            <c:spPr>
              <a:noFill/>
              <a:ln w="2539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Category 1</c:v>
                </c:pt>
              </c:strCache>
            </c:strRef>
          </c:cat>
          <c:val>
            <c:numRef>
              <c:f>Sheet1!$B$2</c:f>
              <c:numCache>
                <c:formatCode>0.0%</c:formatCode>
                <c:ptCount val="1"/>
                <c:pt idx="0">
                  <c:v>0.17499999999999999</c:v>
                </c:pt>
              </c:numCache>
            </c:numRef>
          </c:val>
        </c:ser>
        <c:ser>
          <c:idx val="1"/>
          <c:order val="1"/>
          <c:tx>
            <c:strRef>
              <c:f>Sheet1!$C$1</c:f>
              <c:strCache>
                <c:ptCount val="1"/>
                <c:pt idx="0">
                  <c:v>Kontrola rada advokata</c:v>
                </c:pt>
              </c:strCache>
            </c:strRef>
          </c:tx>
          <c:spPr>
            <a:solidFill>
              <a:srgbClr val="C0504D"/>
            </a:solidFill>
            <a:ln w="25390">
              <a:noFill/>
            </a:ln>
          </c:spPr>
          <c:invertIfNegative val="0"/>
          <c:dLbls>
            <c:spPr>
              <a:noFill/>
              <a:ln w="2539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Category 1</c:v>
                </c:pt>
              </c:strCache>
            </c:strRef>
          </c:cat>
          <c:val>
            <c:numRef>
              <c:f>Sheet1!$C$2</c:f>
              <c:numCache>
                <c:formatCode>0.0%</c:formatCode>
                <c:ptCount val="1"/>
                <c:pt idx="0">
                  <c:v>0.1</c:v>
                </c:pt>
              </c:numCache>
            </c:numRef>
          </c:val>
        </c:ser>
        <c:ser>
          <c:idx val="2"/>
          <c:order val="2"/>
          <c:tx>
            <c:strRef>
              <c:f>Sheet1!$D$1</c:f>
              <c:strCache>
                <c:ptCount val="1"/>
                <c:pt idx="0">
                  <c:v>Edukacije</c:v>
                </c:pt>
              </c:strCache>
            </c:strRef>
          </c:tx>
          <c:spPr>
            <a:solidFill>
              <a:srgbClr val="9BBB59"/>
            </a:solidFill>
            <a:ln w="25390">
              <a:noFill/>
            </a:ln>
          </c:spPr>
          <c:invertIfNegative val="0"/>
          <c:dLbls>
            <c:spPr>
              <a:noFill/>
              <a:ln w="2539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Category 1</c:v>
                </c:pt>
              </c:strCache>
            </c:strRef>
          </c:cat>
          <c:val>
            <c:numRef>
              <c:f>Sheet1!$D$2</c:f>
              <c:numCache>
                <c:formatCode>0.0%</c:formatCode>
                <c:ptCount val="1"/>
                <c:pt idx="0">
                  <c:v>7.4999999999999997E-2</c:v>
                </c:pt>
              </c:numCache>
            </c:numRef>
          </c:val>
        </c:ser>
        <c:ser>
          <c:idx val="3"/>
          <c:order val="3"/>
          <c:tx>
            <c:strRef>
              <c:f>Sheet1!$E$1</c:f>
              <c:strCache>
                <c:ptCount val="1"/>
                <c:pt idx="0">
                  <c:v>Problem specijalizacije</c:v>
                </c:pt>
              </c:strCache>
            </c:strRef>
          </c:tx>
          <c:spPr>
            <a:solidFill>
              <a:srgbClr val="8064A2"/>
            </a:solidFill>
            <a:ln w="25390">
              <a:noFill/>
            </a:ln>
          </c:spPr>
          <c:invertIfNegative val="0"/>
          <c:dLbls>
            <c:spPr>
              <a:noFill/>
              <a:ln w="2539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Category 1</c:v>
                </c:pt>
              </c:strCache>
            </c:strRef>
          </c:cat>
          <c:val>
            <c:numRef>
              <c:f>Sheet1!$E$2</c:f>
              <c:numCache>
                <c:formatCode>0.0%</c:formatCode>
                <c:ptCount val="1"/>
                <c:pt idx="0">
                  <c:v>7.4999999999999997E-2</c:v>
                </c:pt>
              </c:numCache>
            </c:numRef>
          </c:val>
        </c:ser>
        <c:ser>
          <c:idx val="4"/>
          <c:order val="4"/>
          <c:tx>
            <c:strRef>
              <c:f>Sheet1!$F$1</c:f>
              <c:strCache>
                <c:ptCount val="1"/>
                <c:pt idx="0">
                  <c:v>Bez</c:v>
                </c:pt>
              </c:strCache>
            </c:strRef>
          </c:tx>
          <c:spPr>
            <a:solidFill>
              <a:srgbClr val="4BACC6"/>
            </a:solidFill>
            <a:ln w="25390">
              <a:noFill/>
            </a:ln>
          </c:spPr>
          <c:invertIfNegative val="0"/>
          <c:dLbls>
            <c:spPr>
              <a:noFill/>
              <a:ln w="2539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Category 1</c:v>
                </c:pt>
              </c:strCache>
            </c:strRef>
          </c:cat>
          <c:val>
            <c:numRef>
              <c:f>Sheet1!$F$2</c:f>
              <c:numCache>
                <c:formatCode>0.0%</c:formatCode>
                <c:ptCount val="1"/>
                <c:pt idx="0">
                  <c:v>0.55000000000000004</c:v>
                </c:pt>
              </c:numCache>
            </c:numRef>
          </c:val>
        </c:ser>
        <c:ser>
          <c:idx val="5"/>
          <c:order val="5"/>
          <c:tx>
            <c:strRef>
              <c:f>Sheet1!$G$1</c:f>
              <c:strCache>
                <c:ptCount val="1"/>
                <c:pt idx="0">
                  <c:v>Drugo</c:v>
                </c:pt>
              </c:strCache>
            </c:strRef>
          </c:tx>
          <c:spPr>
            <a:solidFill>
              <a:srgbClr val="F79646"/>
            </a:solidFill>
            <a:ln w="25390">
              <a:noFill/>
            </a:ln>
          </c:spPr>
          <c:invertIfNegative val="0"/>
          <c:dLbls>
            <c:spPr>
              <a:noFill/>
              <a:ln w="2539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Category 1</c:v>
                </c:pt>
              </c:strCache>
            </c:strRef>
          </c:cat>
          <c:val>
            <c:numRef>
              <c:f>Sheet1!$G$2</c:f>
              <c:numCache>
                <c:formatCode>0.0%</c:formatCode>
                <c:ptCount val="1"/>
                <c:pt idx="0">
                  <c:v>2.5000000000000001E-2</c:v>
                </c:pt>
              </c:numCache>
            </c:numRef>
          </c:val>
        </c:ser>
        <c:dLbls>
          <c:showLegendKey val="0"/>
          <c:showVal val="0"/>
          <c:showCatName val="0"/>
          <c:showSerName val="0"/>
          <c:showPercent val="0"/>
          <c:showBubbleSize val="0"/>
        </c:dLbls>
        <c:gapWidth val="219"/>
        <c:overlap val="-27"/>
        <c:axId val="169700736"/>
        <c:axId val="169710720"/>
      </c:barChart>
      <c:catAx>
        <c:axId val="169700736"/>
        <c:scaling>
          <c:orientation val="minMax"/>
        </c:scaling>
        <c:delete val="1"/>
        <c:axPos val="b"/>
        <c:majorTickMark val="out"/>
        <c:minorTickMark val="none"/>
        <c:tickLblPos val="nextTo"/>
        <c:crossAx val="169710720"/>
        <c:crosses val="autoZero"/>
        <c:auto val="1"/>
        <c:lblAlgn val="ctr"/>
        <c:lblOffset val="100"/>
        <c:noMultiLvlLbl val="0"/>
      </c:catAx>
      <c:valAx>
        <c:axId val="169710720"/>
        <c:scaling>
          <c:orientation val="minMax"/>
        </c:scaling>
        <c:delete val="0"/>
        <c:axPos val="l"/>
        <c:majorGridlines>
          <c:spPr>
            <a:ln w="9521" cap="flat" cmpd="sng" algn="ctr">
              <a:solidFill>
                <a:schemeClr val="tx1">
                  <a:lumMod val="15000"/>
                  <a:lumOff val="85000"/>
                </a:schemeClr>
              </a:solidFill>
              <a:round/>
            </a:ln>
            <a:effectLst>
              <a:softEdge rad="508000"/>
            </a:effectLst>
          </c:spPr>
        </c:majorGridlines>
        <c:numFmt formatCode="0.0%" sourceLinked="1"/>
        <c:majorTickMark val="none"/>
        <c:minorTickMark val="none"/>
        <c:tickLblPos val="nextTo"/>
        <c:spPr>
          <a:ln w="952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9700736"/>
        <c:crosses val="autoZero"/>
        <c:crossBetween val="between"/>
      </c:valAx>
      <c:spPr>
        <a:noFill/>
        <a:ln w="25390">
          <a:noFill/>
        </a:ln>
      </c:spPr>
    </c:plotArea>
    <c:legend>
      <c:legendPos val="b"/>
      <c:layout>
        <c:manualLayout>
          <c:xMode val="edge"/>
          <c:yMode val="edge"/>
          <c:x val="2.2304971674111433E-2"/>
          <c:y val="0.84318470927330402"/>
          <c:w val="0.96464929107030284"/>
          <c:h val="0.13300581292369129"/>
        </c:manualLayout>
      </c:layout>
      <c:overlay val="0"/>
      <c:spPr>
        <a:noFill/>
        <a:ln w="25390">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0569561783500465"/>
          <c:y val="0.17426817116138429"/>
          <c:w val="0.65484638888224078"/>
          <c:h val="0.29295594093034444"/>
        </c:manualLayout>
      </c:layout>
      <c:barChart>
        <c:barDir val="bar"/>
        <c:grouping val="stacked"/>
        <c:varyColors val="0"/>
        <c:ser>
          <c:idx val="0"/>
          <c:order val="0"/>
          <c:tx>
            <c:strRef>
              <c:f>Sheet1!$B$1</c:f>
              <c:strCache>
                <c:ptCount val="1"/>
                <c:pt idx="0">
                  <c:v>jednom- 135 branilaca</c:v>
                </c:pt>
              </c:strCache>
            </c:strRef>
          </c:tx>
          <c:spPr>
            <a:solidFill>
              <a:srgbClr val="4BACC6"/>
            </a:solidFill>
            <a:ln w="25378">
              <a:noFill/>
            </a:ln>
          </c:spPr>
          <c:invertIfNegative val="0"/>
          <c:dPt>
            <c:idx val="0"/>
            <c:invertIfNegative val="0"/>
            <c:bubble3D val="0"/>
          </c:dPt>
          <c:cat>
            <c:strRef>
              <c:f>Sheet1!$A$2</c:f>
              <c:strCache>
                <c:ptCount val="1"/>
                <c:pt idx="0">
                  <c:v>2015/16</c:v>
                </c:pt>
              </c:strCache>
            </c:strRef>
          </c:cat>
          <c:val>
            <c:numRef>
              <c:f>Sheet1!$B$2</c:f>
              <c:numCache>
                <c:formatCode>0.0%</c:formatCode>
                <c:ptCount val="1"/>
                <c:pt idx="0">
                  <c:v>0.64300000000000002</c:v>
                </c:pt>
              </c:numCache>
            </c:numRef>
          </c:val>
        </c:ser>
        <c:ser>
          <c:idx val="1"/>
          <c:order val="1"/>
          <c:tx>
            <c:strRef>
              <c:f>Sheet1!$C$1</c:f>
              <c:strCache>
                <c:ptCount val="1"/>
                <c:pt idx="0">
                  <c:v>dva puta-15 branilaca</c:v>
                </c:pt>
              </c:strCache>
            </c:strRef>
          </c:tx>
          <c:spPr>
            <a:solidFill>
              <a:srgbClr val="92D050"/>
            </a:solidFill>
            <a:ln w="25378">
              <a:noFill/>
            </a:ln>
          </c:spPr>
          <c:invertIfNegative val="0"/>
          <c:cat>
            <c:strRef>
              <c:f>Sheet1!$A$2</c:f>
              <c:strCache>
                <c:ptCount val="1"/>
                <c:pt idx="0">
                  <c:v>2015/16</c:v>
                </c:pt>
              </c:strCache>
            </c:strRef>
          </c:cat>
          <c:val>
            <c:numRef>
              <c:f>Sheet1!$C$2</c:f>
              <c:numCache>
                <c:formatCode>0.0%</c:formatCode>
                <c:ptCount val="1"/>
                <c:pt idx="0">
                  <c:v>7.0999999999999994E-2</c:v>
                </c:pt>
              </c:numCache>
            </c:numRef>
          </c:val>
        </c:ser>
        <c:ser>
          <c:idx val="2"/>
          <c:order val="2"/>
          <c:tx>
            <c:strRef>
              <c:f>Sheet1!$D$1</c:f>
              <c:strCache>
                <c:ptCount val="1"/>
                <c:pt idx="0">
                  <c:v>tri do pet puta-39 branilaca</c:v>
                </c:pt>
              </c:strCache>
            </c:strRef>
          </c:tx>
          <c:spPr>
            <a:solidFill>
              <a:srgbClr val="C00000"/>
            </a:solidFill>
            <a:ln w="25378">
              <a:noFill/>
            </a:ln>
          </c:spPr>
          <c:invertIfNegative val="0"/>
          <c:cat>
            <c:strRef>
              <c:f>Sheet1!$A$2</c:f>
              <c:strCache>
                <c:ptCount val="1"/>
                <c:pt idx="0">
                  <c:v>2015/16</c:v>
                </c:pt>
              </c:strCache>
            </c:strRef>
          </c:cat>
          <c:val>
            <c:numRef>
              <c:f>Sheet1!$D$2</c:f>
              <c:numCache>
                <c:formatCode>0.0%</c:formatCode>
                <c:ptCount val="1"/>
                <c:pt idx="0">
                  <c:v>0.186</c:v>
                </c:pt>
              </c:numCache>
            </c:numRef>
          </c:val>
        </c:ser>
        <c:ser>
          <c:idx val="3"/>
          <c:order val="3"/>
          <c:tx>
            <c:strRef>
              <c:f>Sheet1!$E$1</c:f>
              <c:strCache>
                <c:ptCount val="1"/>
                <c:pt idx="0">
                  <c:v>šest do  deset puta-15 branilaca</c:v>
                </c:pt>
              </c:strCache>
            </c:strRef>
          </c:tx>
          <c:spPr>
            <a:solidFill>
              <a:schemeClr val="bg1">
                <a:lumMod val="85000"/>
              </a:schemeClr>
            </a:solidFill>
            <a:ln>
              <a:noFill/>
            </a:ln>
            <a:effectLst/>
          </c:spPr>
          <c:invertIfNegative val="0"/>
          <c:cat>
            <c:strRef>
              <c:f>Sheet1!$A$2</c:f>
              <c:strCache>
                <c:ptCount val="1"/>
                <c:pt idx="0">
                  <c:v>2015/16</c:v>
                </c:pt>
              </c:strCache>
            </c:strRef>
          </c:cat>
          <c:val>
            <c:numRef>
              <c:f>Sheet1!$E$2</c:f>
              <c:numCache>
                <c:formatCode>0.0%</c:formatCode>
                <c:ptCount val="1"/>
                <c:pt idx="0">
                  <c:v>7.0999999999999994E-2</c:v>
                </c:pt>
              </c:numCache>
            </c:numRef>
          </c:val>
        </c:ser>
        <c:ser>
          <c:idx val="4"/>
          <c:order val="4"/>
          <c:tx>
            <c:strRef>
              <c:f>Sheet1!$F$1</c:f>
              <c:strCache>
                <c:ptCount val="1"/>
                <c:pt idx="0">
                  <c:v>više od deset puta-5 branilaca</c:v>
                </c:pt>
              </c:strCache>
            </c:strRef>
          </c:tx>
          <c:spPr>
            <a:solidFill>
              <a:srgbClr val="FFC000"/>
            </a:solidFill>
            <a:ln w="25378">
              <a:noFill/>
            </a:ln>
          </c:spPr>
          <c:invertIfNegative val="0"/>
          <c:cat>
            <c:strRef>
              <c:f>Sheet1!$A$2</c:f>
              <c:strCache>
                <c:ptCount val="1"/>
                <c:pt idx="0">
                  <c:v>2015/16</c:v>
                </c:pt>
              </c:strCache>
            </c:strRef>
          </c:cat>
          <c:val>
            <c:numRef>
              <c:f>Sheet1!$F$2</c:f>
              <c:numCache>
                <c:formatCode>0.0%</c:formatCode>
                <c:ptCount val="1"/>
                <c:pt idx="0">
                  <c:v>2.4E-2</c:v>
                </c:pt>
              </c:numCache>
            </c:numRef>
          </c:val>
        </c:ser>
        <c:ser>
          <c:idx val="5"/>
          <c:order val="5"/>
          <c:tx>
            <c:strRef>
              <c:f>Sheet1!$G$1</c:f>
              <c:strCache>
                <c:ptCount val="1"/>
                <c:pt idx="0">
                  <c:v>više od dvadeset puta- 1 branilac</c:v>
                </c:pt>
              </c:strCache>
            </c:strRef>
          </c:tx>
          <c:spPr>
            <a:solidFill>
              <a:srgbClr val="0070C0"/>
            </a:solidFill>
          </c:spPr>
          <c:invertIfNegative val="0"/>
          <c:cat>
            <c:strRef>
              <c:f>Sheet1!$A$2</c:f>
              <c:strCache>
                <c:ptCount val="1"/>
                <c:pt idx="0">
                  <c:v>2015/16</c:v>
                </c:pt>
              </c:strCache>
            </c:strRef>
          </c:cat>
          <c:val>
            <c:numRef>
              <c:f>Sheet1!$G$2</c:f>
              <c:numCache>
                <c:formatCode>0.0%</c:formatCode>
                <c:ptCount val="1"/>
                <c:pt idx="0">
                  <c:v>5.0000000000000001E-3</c:v>
                </c:pt>
              </c:numCache>
            </c:numRef>
          </c:val>
        </c:ser>
        <c:dLbls>
          <c:showLegendKey val="0"/>
          <c:showVal val="0"/>
          <c:showCatName val="0"/>
          <c:showSerName val="0"/>
          <c:showPercent val="0"/>
          <c:showBubbleSize val="0"/>
        </c:dLbls>
        <c:gapWidth val="95"/>
        <c:overlap val="100"/>
        <c:axId val="199253376"/>
        <c:axId val="199259264"/>
      </c:barChart>
      <c:catAx>
        <c:axId val="199253376"/>
        <c:scaling>
          <c:orientation val="minMax"/>
        </c:scaling>
        <c:delete val="0"/>
        <c:axPos val="l"/>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sr-Latn-RS"/>
          </a:p>
        </c:txPr>
        <c:crossAx val="199259264"/>
        <c:crosses val="autoZero"/>
        <c:auto val="1"/>
        <c:lblAlgn val="ctr"/>
        <c:lblOffset val="100"/>
        <c:noMultiLvlLbl val="0"/>
      </c:catAx>
      <c:valAx>
        <c:axId val="199259264"/>
        <c:scaling>
          <c:orientation val="minMax"/>
          <c:max val="1"/>
        </c:scaling>
        <c:delete val="0"/>
        <c:axPos val="b"/>
        <c:majorGridlines>
          <c:spPr>
            <a:ln w="9517" cap="flat" cmpd="sng" algn="ctr">
              <a:solidFill>
                <a:schemeClr val="tx1">
                  <a:lumMod val="15000"/>
                  <a:lumOff val="85000"/>
                </a:schemeClr>
              </a:solidFill>
              <a:round/>
            </a:ln>
            <a:effectLst/>
          </c:spPr>
        </c:majorGridlines>
        <c:numFmt formatCode="0.0%" sourceLinked="1"/>
        <c:majorTickMark val="none"/>
        <c:minorTickMark val="none"/>
        <c:tickLblPos val="nextTo"/>
        <c:spPr>
          <a:ln w="951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sr-Latn-RS"/>
          </a:p>
        </c:txPr>
        <c:crossAx val="199253376"/>
        <c:crosses val="autoZero"/>
        <c:crossBetween val="between"/>
      </c:valAx>
      <c:dTable>
        <c:showHorzBorder val="1"/>
        <c:showVertBorder val="1"/>
        <c:showOutline val="1"/>
        <c:showKeys val="1"/>
        <c:spPr>
          <a:noFill/>
          <a:ln w="9517" cap="flat" cmpd="sng" algn="ctr">
            <a:solidFill>
              <a:schemeClr val="tx1">
                <a:lumMod val="15000"/>
                <a:lumOff val="85000"/>
              </a:schemeClr>
            </a:solidFill>
            <a:round/>
          </a:ln>
          <a:effectLst/>
        </c:spPr>
        <c:txPr>
          <a:bodyPr rot="0" spcFirstLastPara="1" vertOverflow="ellipsis" vert="horz" wrap="square" anchor="ctr" anchorCtr="1"/>
          <a:lstStyle/>
          <a:p>
            <a:pPr rtl="0">
              <a:defRPr sz="1099" b="0" i="0" u="none" strike="noStrike" kern="1200" baseline="0">
                <a:solidFill>
                  <a:schemeClr val="tx1">
                    <a:lumMod val="65000"/>
                    <a:lumOff val="35000"/>
                  </a:schemeClr>
                </a:solidFill>
                <a:latin typeface="+mn-lt"/>
                <a:ea typeface="+mn-ea"/>
                <a:cs typeface="+mn-cs"/>
              </a:defRPr>
            </a:pPr>
            <a:endParaRPr lang="sr-Latn-RS"/>
          </a:p>
        </c:txPr>
      </c:dTable>
      <c:spPr>
        <a:noFill/>
        <a:ln w="25378">
          <a:noFill/>
        </a:ln>
      </c:spPr>
    </c:plotArea>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0569561783500465"/>
          <c:y val="0.17426817116138429"/>
          <c:w val="0.65484638888224078"/>
          <c:h val="0.29295594093034444"/>
        </c:manualLayout>
      </c:layout>
      <c:barChart>
        <c:barDir val="bar"/>
        <c:grouping val="stacked"/>
        <c:varyColors val="0"/>
        <c:ser>
          <c:idx val="0"/>
          <c:order val="0"/>
          <c:tx>
            <c:strRef>
              <c:f>Sheet1!$B$1</c:f>
              <c:strCache>
                <c:ptCount val="1"/>
                <c:pt idx="0">
                  <c:v>Jednom 89 branilaca</c:v>
                </c:pt>
              </c:strCache>
            </c:strRef>
          </c:tx>
          <c:spPr>
            <a:solidFill>
              <a:srgbClr val="4BACC6"/>
            </a:solidFill>
            <a:ln w="25391">
              <a:noFill/>
            </a:ln>
          </c:spPr>
          <c:invertIfNegative val="0"/>
          <c:dPt>
            <c:idx val="0"/>
            <c:invertIfNegative val="0"/>
            <c:bubble3D val="0"/>
          </c:dPt>
          <c:cat>
            <c:strRef>
              <c:f>Sheet1!$A$2</c:f>
              <c:strCache>
                <c:ptCount val="1"/>
                <c:pt idx="0">
                  <c:v>2015/2016</c:v>
                </c:pt>
              </c:strCache>
            </c:strRef>
          </c:cat>
          <c:val>
            <c:numRef>
              <c:f>Sheet1!$B$2</c:f>
              <c:numCache>
                <c:formatCode>0.0%</c:formatCode>
                <c:ptCount val="1"/>
                <c:pt idx="0">
                  <c:v>0.74199999999999999</c:v>
                </c:pt>
              </c:numCache>
            </c:numRef>
          </c:val>
        </c:ser>
        <c:ser>
          <c:idx val="1"/>
          <c:order val="1"/>
          <c:tx>
            <c:strRef>
              <c:f>Sheet1!$C$1</c:f>
              <c:strCache>
                <c:ptCount val="1"/>
                <c:pt idx="0">
                  <c:v>Dva puta 6 branilaca</c:v>
                </c:pt>
              </c:strCache>
            </c:strRef>
          </c:tx>
          <c:spPr>
            <a:solidFill>
              <a:srgbClr val="92D050"/>
            </a:solidFill>
            <a:ln w="25391">
              <a:noFill/>
            </a:ln>
          </c:spPr>
          <c:invertIfNegative val="0"/>
          <c:cat>
            <c:strRef>
              <c:f>Sheet1!$A$2</c:f>
              <c:strCache>
                <c:ptCount val="1"/>
                <c:pt idx="0">
                  <c:v>2015/2016</c:v>
                </c:pt>
              </c:strCache>
            </c:strRef>
          </c:cat>
          <c:val>
            <c:numRef>
              <c:f>Sheet1!$C$2</c:f>
              <c:numCache>
                <c:formatCode>0.0%</c:formatCode>
                <c:ptCount val="1"/>
                <c:pt idx="0">
                  <c:v>0.05</c:v>
                </c:pt>
              </c:numCache>
            </c:numRef>
          </c:val>
        </c:ser>
        <c:ser>
          <c:idx val="2"/>
          <c:order val="2"/>
          <c:tx>
            <c:strRef>
              <c:f>Sheet1!$D$1</c:f>
              <c:strCache>
                <c:ptCount val="1"/>
                <c:pt idx="0">
                  <c:v>Tri do pet puta-18 branilaca</c:v>
                </c:pt>
              </c:strCache>
            </c:strRef>
          </c:tx>
          <c:spPr>
            <a:solidFill>
              <a:srgbClr val="C00000"/>
            </a:solidFill>
            <a:ln w="25391">
              <a:noFill/>
            </a:ln>
          </c:spPr>
          <c:invertIfNegative val="0"/>
          <c:cat>
            <c:strRef>
              <c:f>Sheet1!$A$2</c:f>
              <c:strCache>
                <c:ptCount val="1"/>
                <c:pt idx="0">
                  <c:v>2015/2016</c:v>
                </c:pt>
              </c:strCache>
            </c:strRef>
          </c:cat>
          <c:val>
            <c:numRef>
              <c:f>Sheet1!$D$2</c:f>
              <c:numCache>
                <c:formatCode>0.0%</c:formatCode>
                <c:ptCount val="1"/>
                <c:pt idx="0">
                  <c:v>0.15</c:v>
                </c:pt>
              </c:numCache>
            </c:numRef>
          </c:val>
        </c:ser>
        <c:ser>
          <c:idx val="3"/>
          <c:order val="3"/>
          <c:tx>
            <c:strRef>
              <c:f>Sheet1!$E$1</c:f>
              <c:strCache>
                <c:ptCount val="1"/>
                <c:pt idx="0">
                  <c:v>Šest do  deset puta-5 branilaca</c:v>
                </c:pt>
              </c:strCache>
            </c:strRef>
          </c:tx>
          <c:spPr>
            <a:solidFill>
              <a:schemeClr val="bg1">
                <a:lumMod val="85000"/>
              </a:schemeClr>
            </a:solidFill>
            <a:ln>
              <a:noFill/>
            </a:ln>
            <a:effectLst/>
          </c:spPr>
          <c:invertIfNegative val="0"/>
          <c:cat>
            <c:strRef>
              <c:f>Sheet1!$A$2</c:f>
              <c:strCache>
                <c:ptCount val="1"/>
                <c:pt idx="0">
                  <c:v>2015/2016</c:v>
                </c:pt>
              </c:strCache>
            </c:strRef>
          </c:cat>
          <c:val>
            <c:numRef>
              <c:f>Sheet1!$E$2</c:f>
              <c:numCache>
                <c:formatCode>0.0%</c:formatCode>
                <c:ptCount val="1"/>
                <c:pt idx="0">
                  <c:v>4.2000000000000003E-2</c:v>
                </c:pt>
              </c:numCache>
            </c:numRef>
          </c:val>
        </c:ser>
        <c:ser>
          <c:idx val="4"/>
          <c:order val="4"/>
          <c:tx>
            <c:strRef>
              <c:f>Sheet1!$F$1</c:f>
              <c:strCache>
                <c:ptCount val="1"/>
                <c:pt idx="0">
                  <c:v>Više od deset puta-2 branilaca</c:v>
                </c:pt>
              </c:strCache>
            </c:strRef>
          </c:tx>
          <c:spPr>
            <a:solidFill>
              <a:srgbClr val="FFC000"/>
            </a:solidFill>
            <a:ln w="25391">
              <a:noFill/>
            </a:ln>
          </c:spPr>
          <c:invertIfNegative val="0"/>
          <c:cat>
            <c:strRef>
              <c:f>Sheet1!$A$2</c:f>
              <c:strCache>
                <c:ptCount val="1"/>
                <c:pt idx="0">
                  <c:v>2015/2016</c:v>
                </c:pt>
              </c:strCache>
            </c:strRef>
          </c:cat>
          <c:val>
            <c:numRef>
              <c:f>Sheet1!$F$2</c:f>
              <c:numCache>
                <c:formatCode>0.0%</c:formatCode>
                <c:ptCount val="1"/>
                <c:pt idx="0">
                  <c:v>1.6E-2</c:v>
                </c:pt>
              </c:numCache>
            </c:numRef>
          </c:val>
        </c:ser>
        <c:dLbls>
          <c:showLegendKey val="0"/>
          <c:showVal val="0"/>
          <c:showCatName val="0"/>
          <c:showSerName val="0"/>
          <c:showPercent val="0"/>
          <c:showBubbleSize val="0"/>
        </c:dLbls>
        <c:gapWidth val="95"/>
        <c:overlap val="100"/>
        <c:axId val="216002944"/>
        <c:axId val="216004480"/>
      </c:barChart>
      <c:catAx>
        <c:axId val="216002944"/>
        <c:scaling>
          <c:orientation val="minMax"/>
        </c:scaling>
        <c:delete val="0"/>
        <c:axPos val="l"/>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6004480"/>
        <c:crosses val="autoZero"/>
        <c:auto val="1"/>
        <c:lblAlgn val="ctr"/>
        <c:lblOffset val="100"/>
        <c:noMultiLvlLbl val="0"/>
      </c:catAx>
      <c:valAx>
        <c:axId val="216004480"/>
        <c:scaling>
          <c:orientation val="minMax"/>
          <c:max val="1"/>
        </c:scaling>
        <c:delete val="0"/>
        <c:axPos val="b"/>
        <c:majorGridlines>
          <c:spPr>
            <a:ln w="9522" cap="flat" cmpd="sng" algn="ctr">
              <a:solidFill>
                <a:schemeClr val="tx1">
                  <a:lumMod val="15000"/>
                  <a:lumOff val="85000"/>
                </a:schemeClr>
              </a:solidFill>
              <a:round/>
            </a:ln>
            <a:effectLst/>
          </c:spPr>
        </c:majorGridlines>
        <c:numFmt formatCode="0.0%" sourceLinked="1"/>
        <c:majorTickMark val="none"/>
        <c:minorTickMark val="none"/>
        <c:tickLblPos val="nextTo"/>
        <c:spPr>
          <a:ln w="9522">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6002944"/>
        <c:crosses val="autoZero"/>
        <c:crossBetween val="between"/>
      </c:valAx>
      <c:dTable>
        <c:showHorzBorder val="1"/>
        <c:showVertBorder val="1"/>
        <c:showOutline val="1"/>
        <c:showKeys val="1"/>
        <c:spPr>
          <a:noFill/>
          <a:ln w="9522"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sr-Latn-RS"/>
          </a:p>
        </c:txPr>
      </c:dTable>
      <c:spPr>
        <a:noFill/>
        <a:ln w="25391">
          <a:noFill/>
        </a:ln>
      </c:spPr>
    </c:plotArea>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386281714785652"/>
          <c:y val="0.10377473363774735"/>
          <c:w val="0.7376729464372509"/>
          <c:h val="0.19577487745538658"/>
        </c:manualLayout>
      </c:layout>
      <c:barChart>
        <c:barDir val="bar"/>
        <c:grouping val="stacked"/>
        <c:varyColors val="0"/>
        <c:ser>
          <c:idx val="0"/>
          <c:order val="0"/>
          <c:tx>
            <c:strRef>
              <c:f>Sheet1!$B$1</c:f>
              <c:strCache>
                <c:ptCount val="1"/>
                <c:pt idx="0">
                  <c:v>Branili jednom- 19 branilaca</c:v>
                </c:pt>
              </c:strCache>
            </c:strRef>
          </c:tx>
          <c:spPr>
            <a:solidFill>
              <a:srgbClr val="4BACC6"/>
            </a:solidFill>
            <a:ln w="25367">
              <a:noFill/>
            </a:ln>
          </c:spPr>
          <c:invertIfNegative val="0"/>
          <c:cat>
            <c:strRef>
              <c:f>Sheet1!$A$2</c:f>
              <c:strCache>
                <c:ptCount val="1"/>
                <c:pt idx="0">
                  <c:v>2015/2016</c:v>
                </c:pt>
              </c:strCache>
            </c:strRef>
          </c:cat>
          <c:val>
            <c:numRef>
              <c:f>Sheet1!$B$2</c:f>
              <c:numCache>
                <c:formatCode>0.00%</c:formatCode>
                <c:ptCount val="1"/>
                <c:pt idx="0">
                  <c:v>0.5</c:v>
                </c:pt>
              </c:numCache>
            </c:numRef>
          </c:val>
        </c:ser>
        <c:ser>
          <c:idx val="1"/>
          <c:order val="1"/>
          <c:tx>
            <c:strRef>
              <c:f>Sheet1!$C$1</c:f>
              <c:strCache>
                <c:ptCount val="1"/>
                <c:pt idx="0">
                  <c:v>Branili dva puta -6 branilaca</c:v>
                </c:pt>
              </c:strCache>
            </c:strRef>
          </c:tx>
          <c:spPr>
            <a:solidFill>
              <a:srgbClr val="FFC000"/>
            </a:solidFill>
            <a:ln w="25367">
              <a:noFill/>
            </a:ln>
          </c:spPr>
          <c:invertIfNegative val="0"/>
          <c:cat>
            <c:strRef>
              <c:f>Sheet1!$A$2</c:f>
              <c:strCache>
                <c:ptCount val="1"/>
                <c:pt idx="0">
                  <c:v>2015/2016</c:v>
                </c:pt>
              </c:strCache>
            </c:strRef>
          </c:cat>
          <c:val>
            <c:numRef>
              <c:f>Sheet1!$C$2</c:f>
              <c:numCache>
                <c:formatCode>0.00%</c:formatCode>
                <c:ptCount val="1"/>
                <c:pt idx="0">
                  <c:v>0.158</c:v>
                </c:pt>
              </c:numCache>
            </c:numRef>
          </c:val>
        </c:ser>
        <c:ser>
          <c:idx val="2"/>
          <c:order val="2"/>
          <c:tx>
            <c:strRef>
              <c:f>Sheet1!$D$1</c:f>
              <c:strCache>
                <c:ptCount val="1"/>
                <c:pt idx="0">
                  <c:v>Branili tri do pet puta puta</c:v>
                </c:pt>
              </c:strCache>
            </c:strRef>
          </c:tx>
          <c:spPr>
            <a:solidFill>
              <a:schemeClr val="bg1">
                <a:lumMod val="50000"/>
              </a:schemeClr>
            </a:solidFill>
            <a:ln>
              <a:noFill/>
            </a:ln>
            <a:effectLst/>
          </c:spPr>
          <c:invertIfNegative val="0"/>
          <c:cat>
            <c:strRef>
              <c:f>Sheet1!$A$2</c:f>
              <c:strCache>
                <c:ptCount val="1"/>
                <c:pt idx="0">
                  <c:v>2015/2016</c:v>
                </c:pt>
              </c:strCache>
            </c:strRef>
          </c:cat>
          <c:val>
            <c:numRef>
              <c:f>Sheet1!$D$2</c:f>
              <c:numCache>
                <c:formatCode>0.00%</c:formatCode>
                <c:ptCount val="1"/>
                <c:pt idx="0">
                  <c:v>0.34200000000000003</c:v>
                </c:pt>
              </c:numCache>
            </c:numRef>
          </c:val>
        </c:ser>
        <c:dLbls>
          <c:showLegendKey val="0"/>
          <c:showVal val="0"/>
          <c:showCatName val="0"/>
          <c:showSerName val="0"/>
          <c:showPercent val="0"/>
          <c:showBubbleSize val="0"/>
        </c:dLbls>
        <c:gapWidth val="95"/>
        <c:overlap val="100"/>
        <c:axId val="216248704"/>
        <c:axId val="216250240"/>
      </c:barChart>
      <c:catAx>
        <c:axId val="216248704"/>
        <c:scaling>
          <c:orientation val="minMax"/>
        </c:scaling>
        <c:delete val="0"/>
        <c:axPos val="l"/>
        <c:numFmt formatCode="General" sourceLinked="1"/>
        <c:majorTickMark val="none"/>
        <c:minorTickMark val="none"/>
        <c:tickLblPos val="nextTo"/>
        <c:spPr>
          <a:noFill/>
          <a:ln w="9513"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sr-Latn-RS"/>
          </a:p>
        </c:txPr>
        <c:crossAx val="216250240"/>
        <c:crosses val="autoZero"/>
        <c:auto val="1"/>
        <c:lblAlgn val="ctr"/>
        <c:lblOffset val="100"/>
        <c:noMultiLvlLbl val="0"/>
      </c:catAx>
      <c:valAx>
        <c:axId val="216250240"/>
        <c:scaling>
          <c:orientation val="minMax"/>
          <c:max val="1"/>
        </c:scaling>
        <c:delete val="0"/>
        <c:axPos val="b"/>
        <c:majorGridlines>
          <c:spPr>
            <a:ln w="9513" cap="flat" cmpd="sng" algn="ctr">
              <a:solidFill>
                <a:schemeClr val="tx1">
                  <a:lumMod val="15000"/>
                  <a:lumOff val="85000"/>
                </a:schemeClr>
              </a:solidFill>
              <a:round/>
            </a:ln>
            <a:effectLst/>
          </c:spPr>
        </c:majorGridlines>
        <c:numFmt formatCode="0.00%" sourceLinked="1"/>
        <c:majorTickMark val="none"/>
        <c:minorTickMark val="none"/>
        <c:tickLblPos val="nextTo"/>
        <c:spPr>
          <a:ln w="951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sr-Latn-RS"/>
          </a:p>
        </c:txPr>
        <c:crossAx val="216248704"/>
        <c:crosses val="autoZero"/>
        <c:crossBetween val="between"/>
      </c:valAx>
      <c:dTable>
        <c:showHorzBorder val="1"/>
        <c:showVertBorder val="1"/>
        <c:showOutline val="1"/>
        <c:showKeys val="1"/>
        <c:spPr>
          <a:noFill/>
          <a:ln w="9513" cap="flat" cmpd="sng" algn="ctr">
            <a:solidFill>
              <a:schemeClr val="tx1">
                <a:lumMod val="15000"/>
                <a:lumOff val="85000"/>
              </a:schemeClr>
            </a:solidFill>
            <a:round/>
          </a:ln>
          <a:effectLst/>
        </c:spPr>
        <c:txPr>
          <a:bodyPr rot="0" spcFirstLastPara="1" vertOverflow="ellipsis" vert="horz" wrap="square" anchor="ctr" anchorCtr="1"/>
          <a:lstStyle/>
          <a:p>
            <a:pPr rtl="0">
              <a:defRPr sz="1198" b="0" i="0" u="none" strike="noStrike" kern="1200" baseline="0">
                <a:solidFill>
                  <a:schemeClr val="tx1">
                    <a:lumMod val="65000"/>
                    <a:lumOff val="35000"/>
                  </a:schemeClr>
                </a:solidFill>
                <a:latin typeface="+mn-lt"/>
                <a:ea typeface="+mn-ea"/>
                <a:cs typeface="+mn-cs"/>
              </a:defRPr>
            </a:pPr>
            <a:endParaRPr lang="sr-Latn-RS"/>
          </a:p>
        </c:txPr>
      </c:dTable>
      <c:spPr>
        <a:noFill/>
        <a:ln w="25367">
          <a:noFill/>
        </a:ln>
      </c:spPr>
    </c:plotArea>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dPt>
            <c:idx val="0"/>
            <c:bubble3D val="0"/>
            <c:spPr>
              <a:solidFill>
                <a:schemeClr val="accent1">
                  <a:lumMod val="75000"/>
                </a:schemeClr>
              </a:solidFill>
              <a:ln w="19040">
                <a:solidFill>
                  <a:schemeClr val="lt1"/>
                </a:solidFill>
              </a:ln>
              <a:effectLst/>
            </c:spPr>
          </c:dPt>
          <c:dPt>
            <c:idx val="1"/>
            <c:bubble3D val="0"/>
            <c:spPr>
              <a:solidFill>
                <a:srgbClr val="FF9933"/>
              </a:solidFill>
              <a:ln w="19040">
                <a:solidFill>
                  <a:schemeClr val="lt1"/>
                </a:solidFill>
              </a:ln>
              <a:effectLst/>
            </c:spPr>
          </c:dPt>
          <c:dLbls>
            <c:dLbl>
              <c:idx val="0"/>
              <c:layout>
                <c:manualLayout>
                  <c:x val="-1.9250874890638672E-2"/>
                  <c:y val="-0.37272590926134236"/>
                </c:manualLayout>
              </c:layout>
              <c:spPr>
                <a:noFill/>
                <a:ln w="25386">
                  <a:noFill/>
                </a:ln>
              </c:spPr>
              <c:txPr>
                <a:bodyPr rot="0" spcFirstLastPara="1" vertOverflow="ellipsis" vert="horz" wrap="square" lIns="38100" tIns="19050" rIns="38100" bIns="19050" anchor="ctr" anchorCtr="1">
                  <a:spAutoFit/>
                </a:bodyPr>
                <a:lstStyle/>
                <a:p>
                  <a:pPr>
                    <a:defRPr sz="1399" b="1" i="0" u="none" strike="noStrike" kern="1200" baseline="0">
                      <a:solidFill>
                        <a:schemeClr val="tx1">
                          <a:lumMod val="50000"/>
                          <a:lumOff val="50000"/>
                        </a:schemeClr>
                      </a:solidFill>
                      <a:latin typeface="+mn-lt"/>
                      <a:ea typeface="+mn-ea"/>
                      <a:cs typeface="+mn-cs"/>
                    </a:defRPr>
                  </a:pPr>
                  <a:endParaRPr lang="sr-Latn-RS"/>
                </a:p>
              </c:txPr>
              <c:dLblPos val="bestFit"/>
              <c:showLegendKey val="0"/>
              <c:showVal val="1"/>
              <c:showCatName val="0"/>
              <c:showSerName val="0"/>
              <c:showPercent val="0"/>
              <c:showBubbleSize val="0"/>
            </c:dLbl>
            <c:dLbl>
              <c:idx val="1"/>
              <c:layout>
                <c:manualLayout>
                  <c:x val="1.0568861184018664E-2"/>
                  <c:y val="-4.3443319585051869E-2"/>
                </c:manualLayout>
              </c:layout>
              <c:tx>
                <c:rich>
                  <a:bodyPr rot="0" spcFirstLastPara="1" vertOverflow="ellipsis" vert="horz" wrap="square" lIns="38100" tIns="19050" rIns="38100" bIns="19050" anchor="ctr" anchorCtr="1">
                    <a:spAutoFit/>
                  </a:bodyPr>
                  <a:lstStyle/>
                  <a:p>
                    <a:pPr>
                      <a:defRPr sz="1399" b="1" i="0" u="none" strike="noStrike" kern="1200" baseline="0">
                        <a:solidFill>
                          <a:schemeClr val="bg1"/>
                        </a:solidFill>
                        <a:latin typeface="+mn-lt"/>
                        <a:ea typeface="+mn-ea"/>
                        <a:cs typeface="+mn-cs"/>
                      </a:defRPr>
                    </a:pPr>
                    <a:fld id="{11784124-D11D-4026-BE1F-9690F4F2D892}" type="VALUE">
                      <a:rPr lang="en-US" b="1">
                        <a:solidFill>
                          <a:schemeClr val="tx1">
                            <a:lumMod val="50000"/>
                            <a:lumOff val="50000"/>
                          </a:schemeClr>
                        </a:solidFill>
                      </a:rPr>
                      <a:pPr>
                        <a:defRPr sz="1399" b="1" i="0" u="none" strike="noStrike" kern="1200" baseline="0">
                          <a:solidFill>
                            <a:schemeClr val="bg1"/>
                          </a:solidFill>
                          <a:latin typeface="+mn-lt"/>
                          <a:ea typeface="+mn-ea"/>
                          <a:cs typeface="+mn-cs"/>
                        </a:defRPr>
                      </a:pPr>
                      <a:t>[VALUE]</a:t>
                    </a:fld>
                    <a:endParaRPr lang="en-US"/>
                  </a:p>
                </c:rich>
              </c:tx>
              <c:spPr>
                <a:noFill/>
                <a:ln w="25386">
                  <a:noFill/>
                </a:ln>
              </c:spPr>
              <c:dLblPos val="bestFit"/>
              <c:showLegendKey val="0"/>
              <c:showVal val="0"/>
              <c:showCatName val="0"/>
              <c:showSerName val="0"/>
              <c:showPercent val="0"/>
              <c:showBubbleSize val="0"/>
            </c:dLbl>
            <c:spPr>
              <a:noFill/>
              <a:ln w="25386">
                <a:noFill/>
              </a:ln>
            </c:spPr>
            <c:txPr>
              <a:bodyPr rot="0" spcFirstLastPara="1" vertOverflow="ellipsis" vert="horz" wrap="square" lIns="38100" tIns="19050" rIns="38100" bIns="19050" anchor="ctr" anchorCtr="1">
                <a:spAutoFit/>
              </a:bodyPr>
              <a:lstStyle/>
              <a:p>
                <a:pPr>
                  <a:defRPr sz="1399"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dLbls>
          <c:cat>
            <c:strRef>
              <c:f>Sheet1!$A$2:$A$3</c:f>
              <c:strCache>
                <c:ptCount val="2"/>
                <c:pt idx="0">
                  <c:v>Da</c:v>
                </c:pt>
                <c:pt idx="1">
                  <c:v>Ne</c:v>
                </c:pt>
              </c:strCache>
            </c:strRef>
          </c:cat>
          <c:val>
            <c:numRef>
              <c:f>Sheet1!$B$2:$B$3</c:f>
              <c:numCache>
                <c:formatCode>0.0%</c:formatCode>
                <c:ptCount val="2"/>
                <c:pt idx="0">
                  <c:v>0.65</c:v>
                </c:pt>
                <c:pt idx="1">
                  <c:v>0.35</c:v>
                </c:pt>
              </c:numCache>
            </c:numRef>
          </c:val>
        </c:ser>
        <c:dLbls>
          <c:showLegendKey val="0"/>
          <c:showVal val="0"/>
          <c:showCatName val="0"/>
          <c:showSerName val="0"/>
          <c:showPercent val="0"/>
          <c:showBubbleSize val="0"/>
          <c:showLeaderLines val="0"/>
        </c:dLbls>
        <c:firstSliceAng val="0"/>
      </c:pieChart>
      <c:spPr>
        <a:noFill/>
        <a:ln w="25386">
          <a:noFill/>
        </a:ln>
      </c:spPr>
    </c:plotArea>
    <c:legend>
      <c:legendPos val="b"/>
      <c:layout>
        <c:manualLayout>
          <c:xMode val="edge"/>
          <c:yMode val="edge"/>
          <c:x val="0.37281282958896189"/>
          <c:y val="0.86160684459897063"/>
          <c:w val="0.25900397312721235"/>
          <c:h val="0.11458397245798824"/>
        </c:manualLayout>
      </c:layout>
      <c:overlay val="0"/>
      <c:spPr>
        <a:noFill/>
        <a:ln cmpd="tri">
          <a:solidFill>
            <a:schemeClr val="accent1"/>
          </a:solidFill>
        </a:ln>
        <a:effectLst/>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96138726382692E-2"/>
          <c:y val="5.8816446582309508E-2"/>
          <c:w val="0.91279166539993317"/>
          <c:h val="0.69936404104962413"/>
        </c:manualLayout>
      </c:layout>
      <c:barChart>
        <c:barDir val="bar"/>
        <c:grouping val="clustered"/>
        <c:varyColors val="0"/>
        <c:ser>
          <c:idx val="0"/>
          <c:order val="0"/>
          <c:tx>
            <c:strRef>
              <c:f>Sheet1!$B$1</c:f>
              <c:strCache>
                <c:ptCount val="1"/>
                <c:pt idx="0">
                  <c:v>Da, više od 10</c:v>
                </c:pt>
              </c:strCache>
            </c:strRef>
          </c:tx>
          <c:spPr>
            <a:solidFill>
              <a:srgbClr val="8064A2"/>
            </a:solidFill>
            <a:ln w="25408">
              <a:noFill/>
            </a:ln>
          </c:spPr>
          <c:invertIfNegative val="0"/>
          <c:dLbls>
            <c:spPr>
              <a:noFill/>
              <a:ln w="2540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Da</c:v>
                </c:pt>
              </c:strCache>
            </c:strRef>
          </c:cat>
          <c:val>
            <c:numRef>
              <c:f>Sheet1!$B$2</c:f>
              <c:numCache>
                <c:formatCode>0.0%</c:formatCode>
                <c:ptCount val="1"/>
                <c:pt idx="0">
                  <c:v>5.0999999999999997E-2</c:v>
                </c:pt>
              </c:numCache>
            </c:numRef>
          </c:val>
        </c:ser>
        <c:ser>
          <c:idx val="1"/>
          <c:order val="1"/>
          <c:tx>
            <c:strRef>
              <c:f>Sheet1!$C$1</c:f>
              <c:strCache>
                <c:ptCount val="1"/>
                <c:pt idx="0">
                  <c:v>Da, više puta</c:v>
                </c:pt>
              </c:strCache>
            </c:strRef>
          </c:tx>
          <c:spPr>
            <a:solidFill>
              <a:schemeClr val="bg2">
                <a:lumMod val="75000"/>
              </a:schemeClr>
            </a:solidFill>
            <a:ln>
              <a:noFill/>
            </a:ln>
            <a:effectLst/>
          </c:spPr>
          <c:invertIfNegative val="0"/>
          <c:dLbls>
            <c:spPr>
              <a:noFill/>
              <a:ln w="2540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Da</c:v>
                </c:pt>
              </c:strCache>
            </c:strRef>
          </c:cat>
          <c:val>
            <c:numRef>
              <c:f>Sheet1!$C$2</c:f>
              <c:numCache>
                <c:formatCode>0.0%</c:formatCode>
                <c:ptCount val="1"/>
                <c:pt idx="0">
                  <c:v>7.6999999999999999E-2</c:v>
                </c:pt>
              </c:numCache>
            </c:numRef>
          </c:val>
        </c:ser>
        <c:ser>
          <c:idx val="2"/>
          <c:order val="2"/>
          <c:tx>
            <c:strRef>
              <c:f>Sheet1!$D$1</c:f>
              <c:strCache>
                <c:ptCount val="1"/>
                <c:pt idx="0">
                  <c:v>Da, 2 ili 3 puta</c:v>
                </c:pt>
              </c:strCache>
            </c:strRef>
          </c:tx>
          <c:spPr>
            <a:solidFill>
              <a:srgbClr val="FF9933"/>
            </a:solidFill>
            <a:ln w="25408">
              <a:noFill/>
            </a:ln>
          </c:spPr>
          <c:invertIfNegative val="0"/>
          <c:dLbls>
            <c:spPr>
              <a:noFill/>
              <a:ln w="2540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c:f>
              <c:strCache>
                <c:ptCount val="1"/>
                <c:pt idx="0">
                  <c:v>Da</c:v>
                </c:pt>
              </c:strCache>
            </c:strRef>
          </c:cat>
          <c:val>
            <c:numRef>
              <c:f>Sheet1!$D$2</c:f>
              <c:numCache>
                <c:formatCode>0.0%</c:formatCode>
                <c:ptCount val="1"/>
                <c:pt idx="0">
                  <c:v>0.436</c:v>
                </c:pt>
              </c:numCache>
            </c:numRef>
          </c:val>
        </c:ser>
        <c:ser>
          <c:idx val="3"/>
          <c:order val="3"/>
          <c:tx>
            <c:strRef>
              <c:f>Sheet1!$E$1</c:f>
              <c:strCache>
                <c:ptCount val="1"/>
                <c:pt idx="0">
                  <c:v>Da, jednom</c:v>
                </c:pt>
              </c:strCache>
            </c:strRef>
          </c:tx>
          <c:spPr>
            <a:solidFill>
              <a:srgbClr val="8064A2"/>
            </a:solidFill>
            <a:ln w="25408">
              <a:noFill/>
            </a:ln>
          </c:spPr>
          <c:invertIfNegative val="0"/>
          <c:dPt>
            <c:idx val="0"/>
            <c:invertIfNegative val="0"/>
            <c:bubble3D val="0"/>
            <c:spPr>
              <a:solidFill>
                <a:schemeClr val="accent1">
                  <a:lumMod val="75000"/>
                </a:schemeClr>
              </a:solidFill>
              <a:ln>
                <a:noFill/>
              </a:ln>
              <a:effectLst/>
            </c:spPr>
          </c:dPt>
          <c:dLbls>
            <c:dLbl>
              <c:idx val="0"/>
              <c:spPr>
                <a:noFill/>
                <a:ln w="25408">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dLbl>
            <c:spPr>
              <a:noFill/>
              <a:ln w="2540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dLbls>
          <c:cat>
            <c:strRef>
              <c:f>Sheet1!$A$2</c:f>
              <c:strCache>
                <c:ptCount val="1"/>
                <c:pt idx="0">
                  <c:v>Da</c:v>
                </c:pt>
              </c:strCache>
            </c:strRef>
          </c:cat>
          <c:val>
            <c:numRef>
              <c:f>Sheet1!$E$2</c:f>
              <c:numCache>
                <c:formatCode>0.0%</c:formatCode>
                <c:ptCount val="1"/>
                <c:pt idx="0">
                  <c:v>0.436</c:v>
                </c:pt>
              </c:numCache>
            </c:numRef>
          </c:val>
        </c:ser>
        <c:dLbls>
          <c:showLegendKey val="0"/>
          <c:showVal val="0"/>
          <c:showCatName val="0"/>
          <c:showSerName val="0"/>
          <c:showPercent val="0"/>
          <c:showBubbleSize val="0"/>
        </c:dLbls>
        <c:gapWidth val="150"/>
        <c:overlap val="-25"/>
        <c:axId val="255106048"/>
        <c:axId val="255148800"/>
      </c:barChart>
      <c:catAx>
        <c:axId val="255106048"/>
        <c:scaling>
          <c:orientation val="minMax"/>
        </c:scaling>
        <c:delete val="0"/>
        <c:axPos val="l"/>
        <c:numFmt formatCode="General" sourceLinked="1"/>
        <c:majorTickMark val="none"/>
        <c:minorTickMark val="none"/>
        <c:tickLblPos val="nextTo"/>
        <c:spPr>
          <a:noFill/>
          <a:ln w="9528"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5148800"/>
        <c:crosses val="autoZero"/>
        <c:auto val="1"/>
        <c:lblAlgn val="ctr"/>
        <c:lblOffset val="100"/>
        <c:noMultiLvlLbl val="0"/>
      </c:catAx>
      <c:valAx>
        <c:axId val="255148800"/>
        <c:scaling>
          <c:orientation val="minMax"/>
        </c:scaling>
        <c:delete val="1"/>
        <c:axPos val="b"/>
        <c:numFmt formatCode="0.0%" sourceLinked="1"/>
        <c:majorTickMark val="out"/>
        <c:minorTickMark val="none"/>
        <c:tickLblPos val="nextTo"/>
        <c:crossAx val="255106048"/>
        <c:crosses val="autoZero"/>
        <c:crossBetween val="between"/>
      </c:valAx>
      <c:spPr>
        <a:noFill/>
        <a:ln w="25408">
          <a:noFill/>
        </a:ln>
      </c:spPr>
    </c:plotArea>
    <c:legend>
      <c:legendPos val="b"/>
      <c:layout>
        <c:manualLayout>
          <c:xMode val="edge"/>
          <c:yMode val="edge"/>
          <c:x val="8.6801754675770421E-2"/>
          <c:y val="0.83317080860387949"/>
          <c:w val="0.81392911550391867"/>
          <c:h val="7.0264910579871165E-2"/>
        </c:manualLayout>
      </c:layout>
      <c:overlay val="0"/>
      <c:spPr>
        <a:noFill/>
        <a:ln w="25408">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dPt>
            <c:idx val="0"/>
            <c:bubble3D val="0"/>
            <c:spPr>
              <a:solidFill>
                <a:schemeClr val="accent1">
                  <a:lumMod val="75000"/>
                </a:schemeClr>
              </a:solidFill>
              <a:ln w="19040">
                <a:solidFill>
                  <a:schemeClr val="lt1"/>
                </a:solidFill>
              </a:ln>
              <a:effectLst/>
            </c:spPr>
          </c:dPt>
          <c:dPt>
            <c:idx val="1"/>
            <c:bubble3D val="0"/>
            <c:spPr>
              <a:solidFill>
                <a:srgbClr val="FF9933"/>
              </a:solidFill>
              <a:ln w="19040">
                <a:solidFill>
                  <a:schemeClr val="lt1"/>
                </a:solidFill>
              </a:ln>
              <a:effectLst/>
            </c:spPr>
          </c:dPt>
          <c:dLbls>
            <c:dLbl>
              <c:idx val="0"/>
              <c:layout>
                <c:manualLayout>
                  <c:x val="-1.2040118588108826E-2"/>
                  <c:y val="-1.4876807624528912E-2"/>
                </c:manualLayout>
              </c:layout>
              <c:spPr>
                <a:noFill/>
                <a:ln w="25386">
                  <a:noFill/>
                </a:ln>
              </c:spPr>
              <c:txPr>
                <a:bodyPr rot="0" spcFirstLastPara="1" vertOverflow="ellipsis" vert="horz" wrap="square" lIns="38100" tIns="19050" rIns="38100" bIns="19050" anchor="ctr" anchorCtr="1">
                  <a:spAutoFit/>
                </a:bodyPr>
                <a:lstStyle/>
                <a:p>
                  <a:pPr>
                    <a:defRPr sz="1399" b="1" i="0" u="none" strike="noStrike" kern="1200" baseline="0">
                      <a:solidFill>
                        <a:schemeClr val="tx1">
                          <a:lumMod val="50000"/>
                          <a:lumOff val="50000"/>
                        </a:schemeClr>
                      </a:solidFill>
                      <a:latin typeface="+mn-lt"/>
                      <a:ea typeface="+mn-ea"/>
                      <a:cs typeface="+mn-cs"/>
                    </a:defRPr>
                  </a:pPr>
                  <a:endParaRPr lang="sr-Latn-RS"/>
                </a:p>
              </c:txPr>
              <c:dLblPos val="bestFit"/>
              <c:showLegendKey val="0"/>
              <c:showVal val="1"/>
              <c:showCatName val="0"/>
              <c:showSerName val="0"/>
              <c:showPercent val="0"/>
              <c:showBubbleSize val="0"/>
            </c:dLbl>
            <c:dLbl>
              <c:idx val="1"/>
              <c:layout>
                <c:manualLayout>
                  <c:x val="3.3581669374611431E-3"/>
                  <c:y val="-0.50027489753219234"/>
                </c:manualLayout>
              </c:layout>
              <c:tx>
                <c:rich>
                  <a:bodyPr rot="0" spcFirstLastPara="1" vertOverflow="ellipsis" vert="horz" wrap="square" lIns="38100" tIns="19050" rIns="38100" bIns="19050" anchor="ctr" anchorCtr="1">
                    <a:spAutoFit/>
                  </a:bodyPr>
                  <a:lstStyle/>
                  <a:p>
                    <a:pPr>
                      <a:defRPr sz="1399" b="1" i="0" u="none" strike="noStrike" kern="1200" baseline="0">
                        <a:solidFill>
                          <a:schemeClr val="bg1"/>
                        </a:solidFill>
                        <a:latin typeface="+mn-lt"/>
                        <a:ea typeface="+mn-ea"/>
                        <a:cs typeface="+mn-cs"/>
                      </a:defRPr>
                    </a:pPr>
                    <a:fld id="{11784124-D11D-4026-BE1F-9690F4F2D892}" type="VALUE">
                      <a:rPr lang="en-US" b="1">
                        <a:solidFill>
                          <a:schemeClr val="tx1">
                            <a:lumMod val="50000"/>
                            <a:lumOff val="50000"/>
                          </a:schemeClr>
                        </a:solidFill>
                      </a:rPr>
                      <a:pPr>
                        <a:defRPr sz="1399" b="1" i="0" u="none" strike="noStrike" kern="1200" baseline="0">
                          <a:solidFill>
                            <a:schemeClr val="bg1"/>
                          </a:solidFill>
                          <a:latin typeface="+mn-lt"/>
                          <a:ea typeface="+mn-ea"/>
                          <a:cs typeface="+mn-cs"/>
                        </a:defRPr>
                      </a:pPr>
                      <a:t>[VALUE]</a:t>
                    </a:fld>
                    <a:endParaRPr lang="en-US"/>
                  </a:p>
                </c:rich>
              </c:tx>
              <c:spPr>
                <a:noFill/>
                <a:ln w="25386">
                  <a:noFill/>
                </a:ln>
              </c:spPr>
              <c:dLblPos val="bestFit"/>
              <c:showLegendKey val="0"/>
              <c:showVal val="0"/>
              <c:showCatName val="0"/>
              <c:showSerName val="0"/>
              <c:showPercent val="0"/>
              <c:showBubbleSize val="0"/>
            </c:dLbl>
            <c:spPr>
              <a:noFill/>
              <a:ln w="25386">
                <a:noFill/>
              </a:ln>
            </c:spPr>
            <c:txPr>
              <a:bodyPr rot="0" spcFirstLastPara="1" vertOverflow="ellipsis" vert="horz" wrap="square" lIns="38100" tIns="19050" rIns="38100" bIns="19050" anchor="ctr" anchorCtr="1">
                <a:spAutoFit/>
              </a:bodyPr>
              <a:lstStyle/>
              <a:p>
                <a:pPr>
                  <a:defRPr sz="1399"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dLbls>
          <c:cat>
            <c:strRef>
              <c:f>Sheet1!$A$2:$A$3</c:f>
              <c:strCache>
                <c:ptCount val="2"/>
                <c:pt idx="0">
                  <c:v>Da</c:v>
                </c:pt>
                <c:pt idx="1">
                  <c:v>Ne</c:v>
                </c:pt>
              </c:strCache>
            </c:strRef>
          </c:cat>
          <c:val>
            <c:numRef>
              <c:f>Sheet1!$B$2:$B$3</c:f>
              <c:numCache>
                <c:formatCode>0.0%</c:formatCode>
                <c:ptCount val="2"/>
                <c:pt idx="0">
                  <c:v>0.3</c:v>
                </c:pt>
                <c:pt idx="1">
                  <c:v>0.7</c:v>
                </c:pt>
              </c:numCache>
            </c:numRef>
          </c:val>
        </c:ser>
        <c:dLbls>
          <c:showLegendKey val="0"/>
          <c:showVal val="0"/>
          <c:showCatName val="0"/>
          <c:showSerName val="0"/>
          <c:showPercent val="0"/>
          <c:showBubbleSize val="0"/>
          <c:showLeaderLines val="0"/>
        </c:dLbls>
        <c:firstSliceAng val="0"/>
      </c:pieChart>
      <c:spPr>
        <a:noFill/>
        <a:ln w="25386">
          <a:noFill/>
        </a:ln>
      </c:spPr>
    </c:plotArea>
    <c:legend>
      <c:legendPos val="b"/>
      <c:layout>
        <c:manualLayout>
          <c:xMode val="edge"/>
          <c:yMode val="edge"/>
          <c:x val="0.37281282958896189"/>
          <c:y val="0.86160684459897063"/>
          <c:w val="0.25900397312721235"/>
          <c:h val="0.11458397245798824"/>
        </c:manualLayout>
      </c:layout>
      <c:overlay val="0"/>
      <c:spPr>
        <a:noFill/>
        <a:ln cmpd="tri">
          <a:solidFill>
            <a:schemeClr val="accent1"/>
          </a:solidFill>
        </a:ln>
        <a:effectLst/>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sr-Latn-ME" sz="1397">
                <a:latin typeface="Times New Roman" panose="02020603050405020304" pitchFamily="18" charset="0"/>
                <a:cs typeface="Times New Roman" panose="02020603050405020304" pitchFamily="18" charset="0"/>
              </a:rPr>
              <a:t>Razlozi</a:t>
            </a:r>
            <a:r>
              <a:rPr lang="sr-Latn-ME" sz="1397" baseline="0">
                <a:latin typeface="Times New Roman" panose="02020603050405020304" pitchFamily="18" charset="0"/>
                <a:cs typeface="Times New Roman" panose="02020603050405020304" pitchFamily="18" charset="0"/>
              </a:rPr>
              <a:t> odbijanja </a:t>
            </a:r>
            <a:endParaRPr lang="en-US" sz="1400">
              <a:latin typeface="Times New Roman" panose="02020603050405020304" pitchFamily="18" charset="0"/>
              <a:cs typeface="Times New Roman" panose="02020603050405020304" pitchFamily="18" charset="0"/>
            </a:endParaRPr>
          </a:p>
        </c:rich>
      </c:tx>
      <c:overlay val="0"/>
      <c:spPr>
        <a:noFill/>
        <a:ln w="25345">
          <a:noFill/>
        </a:ln>
      </c:spPr>
    </c:title>
    <c:autoTitleDeleted val="0"/>
    <c:plotArea>
      <c:layout>
        <c:manualLayout>
          <c:layoutTarget val="inner"/>
          <c:xMode val="edge"/>
          <c:yMode val="edge"/>
          <c:x val="0.44792823174836766"/>
          <c:y val="0.12842797783933518"/>
          <c:w val="0.52709163880914345"/>
          <c:h val="0.74691828254847659"/>
        </c:manualLayout>
      </c:layout>
      <c:barChart>
        <c:barDir val="bar"/>
        <c:grouping val="clustered"/>
        <c:varyColors val="0"/>
        <c:ser>
          <c:idx val="0"/>
          <c:order val="0"/>
          <c:tx>
            <c:strRef>
              <c:f>Sheet1!$B$1</c:f>
              <c:strCache>
                <c:ptCount val="1"/>
                <c:pt idx="0">
                  <c:v>%</c:v>
                </c:pt>
              </c:strCache>
            </c:strRef>
          </c:tx>
          <c:spPr>
            <a:solidFill>
              <a:srgbClr val="4F81BD"/>
            </a:solidFill>
            <a:ln w="25345">
              <a:noFill/>
            </a:ln>
          </c:spPr>
          <c:invertIfNegative val="0"/>
          <c:dPt>
            <c:idx val="0"/>
            <c:invertIfNegative val="0"/>
            <c:bubble3D val="0"/>
            <c:spPr>
              <a:solidFill>
                <a:schemeClr val="accent5">
                  <a:lumMod val="50000"/>
                </a:schemeClr>
              </a:solidFill>
              <a:ln>
                <a:noFill/>
              </a:ln>
              <a:effectLst/>
            </c:spPr>
          </c:dPt>
          <c:dPt>
            <c:idx val="2"/>
            <c:invertIfNegative val="0"/>
            <c:bubble3D val="0"/>
            <c:spPr>
              <a:solidFill>
                <a:srgbClr val="FFC000"/>
              </a:solidFill>
              <a:ln w="25345">
                <a:noFill/>
              </a:ln>
            </c:spPr>
          </c:dPt>
          <c:dLbls>
            <c:spPr>
              <a:noFill/>
              <a:ln w="25345">
                <a:noFill/>
              </a:ln>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dLbls>
          <c:cat>
            <c:strRef>
              <c:f>Sheet1!$A$2:$A$4</c:f>
              <c:strCache>
                <c:ptCount val="3"/>
                <c:pt idx="0">
                  <c:v>Drugo</c:v>
                </c:pt>
                <c:pt idx="1">
                  <c:v>Konflikt interesa</c:v>
                </c:pt>
                <c:pt idx="2">
                  <c:v>Nemogućnost da prisustvuje ili veliki broj obaveza</c:v>
                </c:pt>
              </c:strCache>
            </c:strRef>
          </c:cat>
          <c:val>
            <c:numRef>
              <c:f>Sheet1!$B$2:$B$4</c:f>
              <c:numCache>
                <c:formatCode>0.0%</c:formatCode>
                <c:ptCount val="3"/>
                <c:pt idx="0">
                  <c:v>0.111</c:v>
                </c:pt>
                <c:pt idx="1">
                  <c:v>0.22261</c:v>
                </c:pt>
                <c:pt idx="2">
                  <c:v>0.66600000000000004</c:v>
                </c:pt>
              </c:numCache>
            </c:numRef>
          </c:val>
        </c:ser>
        <c:dLbls>
          <c:showLegendKey val="0"/>
          <c:showVal val="0"/>
          <c:showCatName val="0"/>
          <c:showSerName val="0"/>
          <c:showPercent val="0"/>
          <c:showBubbleSize val="0"/>
        </c:dLbls>
        <c:gapWidth val="150"/>
        <c:overlap val="-25"/>
        <c:axId val="255329408"/>
        <c:axId val="255330944"/>
      </c:barChart>
      <c:catAx>
        <c:axId val="255329408"/>
        <c:scaling>
          <c:orientation val="minMax"/>
        </c:scaling>
        <c:delete val="0"/>
        <c:axPos val="l"/>
        <c:numFmt formatCode="General" sourceLinked="1"/>
        <c:majorTickMark val="none"/>
        <c:minorTickMark val="none"/>
        <c:tickLblPos val="nextTo"/>
        <c:spPr>
          <a:noFill/>
          <a:ln w="9504"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55330944"/>
        <c:crosses val="autoZero"/>
        <c:auto val="1"/>
        <c:lblAlgn val="ctr"/>
        <c:lblOffset val="100"/>
        <c:noMultiLvlLbl val="0"/>
      </c:catAx>
      <c:valAx>
        <c:axId val="255330944"/>
        <c:scaling>
          <c:orientation val="minMax"/>
        </c:scaling>
        <c:delete val="1"/>
        <c:axPos val="b"/>
        <c:numFmt formatCode="0.0%" sourceLinked="1"/>
        <c:majorTickMark val="out"/>
        <c:minorTickMark val="none"/>
        <c:tickLblPos val="nextTo"/>
        <c:crossAx val="255329408"/>
        <c:crosses val="autoZero"/>
        <c:crossBetween val="between"/>
      </c:valAx>
      <c:spPr>
        <a:noFill/>
        <a:ln w="25345">
          <a:noFill/>
        </a:ln>
      </c:spPr>
    </c:plotArea>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dPt>
            <c:idx val="0"/>
            <c:bubble3D val="0"/>
            <c:spPr>
              <a:solidFill>
                <a:schemeClr val="accent1">
                  <a:lumMod val="75000"/>
                </a:schemeClr>
              </a:solidFill>
              <a:ln w="19039">
                <a:solidFill>
                  <a:schemeClr val="lt1"/>
                </a:solidFill>
              </a:ln>
              <a:effectLst/>
            </c:spPr>
          </c:dPt>
          <c:dPt>
            <c:idx val="1"/>
            <c:bubble3D val="0"/>
            <c:spPr>
              <a:solidFill>
                <a:srgbClr val="FF9933"/>
              </a:solidFill>
              <a:ln w="19039">
                <a:solidFill>
                  <a:schemeClr val="lt1"/>
                </a:solidFill>
              </a:ln>
              <a:effectLst/>
            </c:spPr>
          </c:dPt>
          <c:dLbls>
            <c:dLbl>
              <c:idx val="0"/>
              <c:layout>
                <c:manualLayout>
                  <c:x val="-4.8294467938532403E-3"/>
                  <c:y val="8.9901063289134123E-2"/>
                </c:manualLayout>
              </c:layout>
              <c:spPr>
                <a:noFill/>
                <a:ln w="25385">
                  <a:noFill/>
                </a:ln>
              </c:spPr>
              <c:txPr>
                <a:bodyPr rot="0" spcFirstLastPara="1" vertOverflow="ellipsis" vert="horz" wrap="square" lIns="38100" tIns="19050" rIns="38100" bIns="19050" anchor="ctr" anchorCtr="1">
                  <a:spAutoFit/>
                </a:bodyPr>
                <a:lstStyle/>
                <a:p>
                  <a:pPr>
                    <a:defRPr sz="1399" b="1" i="0" u="none" strike="noStrike" kern="1200" baseline="0">
                      <a:solidFill>
                        <a:schemeClr val="tx1">
                          <a:lumMod val="50000"/>
                          <a:lumOff val="50000"/>
                        </a:schemeClr>
                      </a:solidFill>
                      <a:latin typeface="+mn-lt"/>
                      <a:ea typeface="+mn-ea"/>
                      <a:cs typeface="+mn-cs"/>
                    </a:defRPr>
                  </a:pPr>
                  <a:endParaRPr lang="sr-Latn-RS"/>
                </a:p>
              </c:txPr>
              <c:dLblPos val="bestFit"/>
              <c:showLegendKey val="0"/>
              <c:showVal val="1"/>
              <c:showCatName val="0"/>
              <c:showSerName val="0"/>
              <c:showPercent val="0"/>
              <c:showBubbleSize val="0"/>
            </c:dLbl>
            <c:dLbl>
              <c:idx val="1"/>
              <c:layout>
                <c:manualLayout>
                  <c:x val="-1.4489475920425442E-3"/>
                  <c:y val="-0.13145679191609849"/>
                </c:manualLayout>
              </c:layout>
              <c:tx>
                <c:rich>
                  <a:bodyPr rot="0" spcFirstLastPara="1" vertOverflow="ellipsis" vert="horz" wrap="square" lIns="38100" tIns="19050" rIns="38100" bIns="19050" anchor="ctr" anchorCtr="1">
                    <a:spAutoFit/>
                  </a:bodyPr>
                  <a:lstStyle/>
                  <a:p>
                    <a:pPr>
                      <a:defRPr sz="1399" b="1" i="0" u="none" strike="noStrike" kern="1200" baseline="0">
                        <a:solidFill>
                          <a:schemeClr val="bg1"/>
                        </a:solidFill>
                        <a:latin typeface="+mn-lt"/>
                        <a:ea typeface="+mn-ea"/>
                        <a:cs typeface="+mn-cs"/>
                      </a:defRPr>
                    </a:pPr>
                    <a:fld id="{11784124-D11D-4026-BE1F-9690F4F2D892}" type="VALUE">
                      <a:rPr lang="en-US" b="1">
                        <a:solidFill>
                          <a:schemeClr val="tx1">
                            <a:lumMod val="50000"/>
                            <a:lumOff val="50000"/>
                          </a:schemeClr>
                        </a:solidFill>
                      </a:rPr>
                      <a:pPr>
                        <a:defRPr sz="1399" b="1" i="0" u="none" strike="noStrike" kern="1200" baseline="0">
                          <a:solidFill>
                            <a:schemeClr val="bg1"/>
                          </a:solidFill>
                          <a:latin typeface="+mn-lt"/>
                          <a:ea typeface="+mn-ea"/>
                          <a:cs typeface="+mn-cs"/>
                        </a:defRPr>
                      </a:pPr>
                      <a:t>[VALUE]</a:t>
                    </a:fld>
                    <a:endParaRPr lang="en-US"/>
                  </a:p>
                </c:rich>
              </c:tx>
              <c:spPr>
                <a:noFill/>
                <a:ln w="25385">
                  <a:noFill/>
                </a:ln>
              </c:spPr>
              <c:dLblPos val="bestFit"/>
              <c:showLegendKey val="0"/>
              <c:showVal val="0"/>
              <c:showCatName val="0"/>
              <c:showSerName val="0"/>
              <c:showPercent val="0"/>
              <c:showBubbleSize val="0"/>
            </c:dLbl>
            <c:spPr>
              <a:noFill/>
              <a:ln w="25385">
                <a:noFill/>
              </a:ln>
            </c:spPr>
            <c:txPr>
              <a:bodyPr rot="0" spcFirstLastPara="1" vertOverflow="ellipsis" vert="horz" wrap="square" lIns="38100" tIns="19050" rIns="38100" bIns="19050" anchor="ctr" anchorCtr="1">
                <a:spAutoFit/>
              </a:bodyPr>
              <a:lstStyle/>
              <a:p>
                <a:pPr>
                  <a:defRPr sz="1399"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dLbls>
          <c:cat>
            <c:strRef>
              <c:f>Sheet1!$A$2:$A$3</c:f>
              <c:strCache>
                <c:ptCount val="2"/>
                <c:pt idx="0">
                  <c:v>Da</c:v>
                </c:pt>
                <c:pt idx="1">
                  <c:v>Ne</c:v>
                </c:pt>
              </c:strCache>
            </c:strRef>
          </c:cat>
          <c:val>
            <c:numRef>
              <c:f>Sheet1!$B$2:$B$3</c:f>
              <c:numCache>
                <c:formatCode>0.0%</c:formatCode>
                <c:ptCount val="2"/>
                <c:pt idx="0">
                  <c:v>0.41699999999999998</c:v>
                </c:pt>
                <c:pt idx="1">
                  <c:v>0.58299999999999996</c:v>
                </c:pt>
              </c:numCache>
            </c:numRef>
          </c:val>
        </c:ser>
        <c:dLbls>
          <c:showLegendKey val="0"/>
          <c:showVal val="0"/>
          <c:showCatName val="0"/>
          <c:showSerName val="0"/>
          <c:showPercent val="0"/>
          <c:showBubbleSize val="0"/>
          <c:showLeaderLines val="0"/>
        </c:dLbls>
        <c:firstSliceAng val="0"/>
      </c:pieChart>
      <c:spPr>
        <a:noFill/>
        <a:ln w="25385">
          <a:noFill/>
        </a:ln>
      </c:spPr>
    </c:plotArea>
    <c:legend>
      <c:legendPos val="b"/>
      <c:layout>
        <c:manualLayout>
          <c:xMode val="edge"/>
          <c:yMode val="edge"/>
          <c:x val="0.37281282147423883"/>
          <c:y val="0.86160658983371019"/>
          <c:w val="0.25900397065751396"/>
          <c:h val="0.11458391230507947"/>
        </c:manualLayout>
      </c:layout>
      <c:overlay val="0"/>
      <c:spPr>
        <a:noFill/>
        <a:ln cmpd="tri">
          <a:solidFill>
            <a:schemeClr val="accent1"/>
          </a:solidFill>
        </a:ln>
        <a:effectLst/>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9086-5EA2-4A58-88A0-5433DF4F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9475</Words>
  <Characters>54009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2016-05-10T11:26:00Z</cp:lastPrinted>
  <dcterms:created xsi:type="dcterms:W3CDTF">2017-05-12T07:26:00Z</dcterms:created>
  <dcterms:modified xsi:type="dcterms:W3CDTF">2017-05-12T07:26:00Z</dcterms:modified>
</cp:coreProperties>
</file>