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sz w:val="22"/>
          <w:szCs w:val="22"/>
        </w:rPr>
        <w:id w:val="457072304"/>
        <w:docPartObj>
          <w:docPartGallery w:val="Cover Pages"/>
          <w:docPartUnique/>
        </w:docPartObj>
      </w:sdtPr>
      <w:sdtEndPr>
        <w:rPr>
          <w:rFonts w:eastAsiaTheme="majorEastAsia" w:cstheme="majorBidi"/>
        </w:rPr>
      </w:sdtEndPr>
      <w:sdtContent>
        <w:p w:rsidR="00C73B08" w:rsidRPr="00C00F2A" w:rsidRDefault="00C73B08">
          <w:pPr>
            <w:rPr>
              <w:sz w:val="22"/>
              <w:szCs w:val="22"/>
            </w:rPr>
          </w:pPr>
        </w:p>
        <w:p w:rsidR="003A019C" w:rsidRPr="00C00F2A" w:rsidRDefault="003A019C">
          <w:pPr>
            <w:rPr>
              <w:sz w:val="22"/>
              <w:szCs w:val="22"/>
            </w:rPr>
          </w:pPr>
        </w:p>
        <w:p w:rsidR="003A019C" w:rsidRPr="00C00F2A" w:rsidRDefault="003A019C">
          <w:pPr>
            <w:rPr>
              <w:sz w:val="22"/>
              <w:szCs w:val="22"/>
            </w:rPr>
          </w:pPr>
        </w:p>
        <w:p w:rsidR="00C73B08" w:rsidRPr="00C00F2A" w:rsidRDefault="00C73B08">
          <w:pPr>
            <w:rPr>
              <w:sz w:val="22"/>
              <w:szCs w:val="22"/>
            </w:rPr>
          </w:pPr>
        </w:p>
        <w:p w:rsidR="003A019C" w:rsidRPr="00E00D1D" w:rsidRDefault="003A019C" w:rsidP="003A019C">
          <w:pPr>
            <w:shd w:val="clear" w:color="auto" w:fill="F3F3F3"/>
            <w:spacing w:after="0" w:line="240" w:lineRule="auto"/>
            <w:rPr>
              <w:rFonts w:cstheme="minorHAnsi"/>
              <w:sz w:val="32"/>
              <w:szCs w:val="22"/>
            </w:rPr>
          </w:pPr>
          <w:r w:rsidRPr="00E00D1D">
            <w:rPr>
              <w:rFonts w:cstheme="minorHAnsi"/>
              <w:noProof/>
              <w:sz w:val="32"/>
              <w:szCs w:val="22"/>
              <w:lang w:val="en-US"/>
            </w:rPr>
            <w:drawing>
              <wp:anchor distT="0" distB="0" distL="114300" distR="114300" simplePos="0" relativeHeight="251694080" behindDoc="0" locked="0" layoutInCell="1" allowOverlap="1" wp14:anchorId="1ECA4C45" wp14:editId="51DCB980">
                <wp:simplePos x="0" y="0"/>
                <wp:positionH relativeFrom="column">
                  <wp:posOffset>3875190</wp:posOffset>
                </wp:positionH>
                <wp:positionV relativeFrom="paragraph">
                  <wp:posOffset>-2264</wp:posOffset>
                </wp:positionV>
                <wp:extent cx="1871670" cy="739471"/>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I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9016" cy="742373"/>
                        </a:xfrm>
                        <a:prstGeom prst="rect">
                          <a:avLst/>
                        </a:prstGeom>
                      </pic:spPr>
                    </pic:pic>
                  </a:graphicData>
                </a:graphic>
                <wp14:sizeRelH relativeFrom="page">
                  <wp14:pctWidth>0</wp14:pctWidth>
                </wp14:sizeRelH>
                <wp14:sizeRelV relativeFrom="page">
                  <wp14:pctHeight>0</wp14:pctHeight>
                </wp14:sizeRelV>
              </wp:anchor>
            </w:drawing>
          </w:r>
          <w:r w:rsidRPr="00E00D1D">
            <w:rPr>
              <w:rFonts w:cstheme="minorHAnsi"/>
              <w:sz w:val="32"/>
              <w:szCs w:val="22"/>
            </w:rPr>
            <w:t xml:space="preserve">N A C R T </w:t>
          </w:r>
        </w:p>
        <w:p w:rsidR="003A019C" w:rsidRPr="00C00F2A" w:rsidRDefault="003A019C" w:rsidP="003A019C">
          <w:pPr>
            <w:shd w:val="clear" w:color="auto" w:fill="F3F3F3"/>
            <w:spacing w:before="0" w:after="0" w:line="240" w:lineRule="auto"/>
            <w:jc w:val="both"/>
            <w:rPr>
              <w:rFonts w:cs="Arial"/>
              <w:sz w:val="22"/>
              <w:szCs w:val="22"/>
            </w:rPr>
          </w:pPr>
        </w:p>
        <w:p w:rsidR="003A019C" w:rsidRPr="00C00F2A" w:rsidRDefault="003A019C" w:rsidP="003A019C">
          <w:pPr>
            <w:shd w:val="clear" w:color="auto" w:fill="F3F3F3"/>
            <w:spacing w:before="0" w:after="0" w:line="240" w:lineRule="auto"/>
            <w:jc w:val="both"/>
            <w:rPr>
              <w:rFonts w:cs="Arial"/>
              <w:sz w:val="22"/>
              <w:szCs w:val="22"/>
            </w:rPr>
          </w:pPr>
        </w:p>
        <w:p w:rsidR="003A019C" w:rsidRPr="00C00F2A" w:rsidRDefault="003A019C" w:rsidP="003A019C">
          <w:pPr>
            <w:shd w:val="clear" w:color="auto" w:fill="F3F3F3"/>
            <w:spacing w:before="0" w:after="0" w:line="240" w:lineRule="auto"/>
            <w:jc w:val="both"/>
            <w:rPr>
              <w:rFonts w:cs="Arial"/>
              <w:sz w:val="22"/>
              <w:szCs w:val="22"/>
            </w:rPr>
          </w:pPr>
        </w:p>
        <w:p w:rsidR="003A019C" w:rsidRPr="00C00F2A" w:rsidRDefault="003A019C" w:rsidP="003A019C">
          <w:pPr>
            <w:shd w:val="clear" w:color="auto" w:fill="F3F3F3"/>
            <w:spacing w:before="0" w:after="0" w:line="240" w:lineRule="auto"/>
            <w:jc w:val="both"/>
            <w:rPr>
              <w:rFonts w:cs="Arial"/>
              <w:sz w:val="22"/>
              <w:szCs w:val="22"/>
            </w:rPr>
          </w:pPr>
        </w:p>
        <w:p w:rsidR="003A019C" w:rsidRPr="00C00F2A" w:rsidRDefault="003A019C" w:rsidP="003A019C">
          <w:pPr>
            <w:shd w:val="clear" w:color="auto" w:fill="F3F3F3"/>
            <w:spacing w:before="0" w:after="0" w:line="240" w:lineRule="auto"/>
            <w:jc w:val="both"/>
            <w:rPr>
              <w:rFonts w:cs="Arial"/>
              <w:sz w:val="22"/>
              <w:szCs w:val="22"/>
            </w:rPr>
          </w:pPr>
        </w:p>
        <w:p w:rsidR="003A019C" w:rsidRDefault="003A019C" w:rsidP="003A019C">
          <w:pPr>
            <w:shd w:val="clear" w:color="auto" w:fill="F3F3F3"/>
            <w:spacing w:before="0" w:after="0" w:line="240" w:lineRule="auto"/>
            <w:jc w:val="center"/>
            <w:rPr>
              <w:rFonts w:cs="Arial"/>
              <w:b/>
              <w:sz w:val="22"/>
              <w:szCs w:val="22"/>
            </w:rPr>
          </w:pPr>
        </w:p>
        <w:p w:rsidR="00325103" w:rsidRPr="00C00F2A" w:rsidRDefault="00325103" w:rsidP="003A019C">
          <w:pPr>
            <w:shd w:val="clear" w:color="auto" w:fill="F3F3F3"/>
            <w:spacing w:before="0" w:after="0" w:line="240" w:lineRule="auto"/>
            <w:jc w:val="center"/>
            <w:rPr>
              <w:rFonts w:cs="Arial"/>
              <w:b/>
              <w:sz w:val="22"/>
              <w:szCs w:val="22"/>
            </w:rPr>
          </w:pPr>
        </w:p>
        <w:p w:rsidR="004F1F3E" w:rsidRDefault="003A019C" w:rsidP="003A019C">
          <w:pPr>
            <w:shd w:val="clear" w:color="auto" w:fill="F3F3F3"/>
            <w:spacing w:before="0" w:after="0" w:line="360" w:lineRule="auto"/>
            <w:jc w:val="center"/>
            <w:rPr>
              <w:rFonts w:cstheme="minorHAnsi"/>
              <w:b/>
              <w:sz w:val="32"/>
              <w:szCs w:val="22"/>
            </w:rPr>
          </w:pPr>
          <w:r w:rsidRPr="00E00D1D">
            <w:rPr>
              <w:rFonts w:cstheme="minorHAnsi"/>
              <w:b/>
              <w:sz w:val="32"/>
              <w:szCs w:val="22"/>
            </w:rPr>
            <w:t xml:space="preserve">MODELI DEINSTITUCIONALIZACIJE I ZAŠTITE MENTALNOG ZDRAVLJA </w:t>
          </w:r>
        </w:p>
        <w:p w:rsidR="003A019C" w:rsidRPr="00E00D1D" w:rsidRDefault="003A019C" w:rsidP="003A019C">
          <w:pPr>
            <w:shd w:val="clear" w:color="auto" w:fill="F3F3F3"/>
            <w:spacing w:before="0" w:after="0" w:line="360" w:lineRule="auto"/>
            <w:jc w:val="center"/>
            <w:rPr>
              <w:rFonts w:cstheme="minorHAnsi"/>
              <w:sz w:val="32"/>
              <w:szCs w:val="22"/>
            </w:rPr>
          </w:pPr>
          <w:r w:rsidRPr="00E00D1D">
            <w:rPr>
              <w:rFonts w:cstheme="minorHAnsi"/>
              <w:b/>
              <w:sz w:val="32"/>
              <w:szCs w:val="22"/>
            </w:rPr>
            <w:t>U ZAJEDNICI</w:t>
          </w:r>
        </w:p>
        <w:p w:rsidR="003A019C" w:rsidRDefault="003A019C" w:rsidP="003A019C">
          <w:pPr>
            <w:shd w:val="clear" w:color="auto" w:fill="F3F3F3"/>
            <w:spacing w:before="0" w:after="0" w:line="360" w:lineRule="auto"/>
            <w:jc w:val="both"/>
            <w:rPr>
              <w:rFonts w:cstheme="minorHAnsi"/>
              <w:sz w:val="28"/>
              <w:szCs w:val="22"/>
            </w:rPr>
          </w:pPr>
        </w:p>
        <w:p w:rsidR="003A019C" w:rsidRPr="00C00F2A" w:rsidRDefault="003A019C" w:rsidP="00325103">
          <w:pPr>
            <w:shd w:val="clear" w:color="auto" w:fill="F3F3F3"/>
            <w:spacing w:before="0" w:after="0" w:line="240" w:lineRule="auto"/>
            <w:rPr>
              <w:rFonts w:cstheme="minorHAnsi"/>
              <w:b/>
              <w:sz w:val="22"/>
              <w:szCs w:val="22"/>
            </w:rPr>
          </w:pPr>
        </w:p>
        <w:p w:rsidR="003A019C" w:rsidRPr="00B52F15" w:rsidRDefault="003A019C" w:rsidP="003A019C">
          <w:pPr>
            <w:shd w:val="clear" w:color="auto" w:fill="F3F3F3"/>
            <w:spacing w:before="0" w:after="0" w:line="240" w:lineRule="auto"/>
            <w:jc w:val="center"/>
            <w:rPr>
              <w:rFonts w:cstheme="minorHAnsi"/>
              <w:b/>
              <w:szCs w:val="22"/>
            </w:rPr>
          </w:pPr>
          <w:r w:rsidRPr="00B52F15">
            <w:rPr>
              <w:rFonts w:cstheme="minorHAnsi"/>
              <w:b/>
              <w:szCs w:val="22"/>
            </w:rPr>
            <w:t>Dragana Ćirić Milovanović</w:t>
          </w:r>
        </w:p>
        <w:p w:rsidR="003A019C" w:rsidRPr="00B52F15" w:rsidRDefault="003A019C" w:rsidP="003A019C">
          <w:pPr>
            <w:shd w:val="clear" w:color="auto" w:fill="F3F3F3"/>
            <w:spacing w:before="0" w:after="0" w:line="240" w:lineRule="auto"/>
            <w:jc w:val="right"/>
            <w:rPr>
              <w:rFonts w:cstheme="minorHAnsi"/>
              <w:b/>
              <w:szCs w:val="22"/>
            </w:rPr>
          </w:pPr>
        </w:p>
        <w:p w:rsidR="003A019C" w:rsidRDefault="003A019C" w:rsidP="003A019C">
          <w:pPr>
            <w:shd w:val="clear" w:color="auto" w:fill="F3F3F3"/>
            <w:spacing w:before="0" w:after="0" w:line="240" w:lineRule="auto"/>
            <w:jc w:val="center"/>
            <w:rPr>
              <w:rFonts w:cstheme="minorHAnsi"/>
              <w:b/>
              <w:szCs w:val="22"/>
            </w:rPr>
          </w:pPr>
        </w:p>
        <w:p w:rsidR="004F1F3E" w:rsidRPr="00B52F15" w:rsidRDefault="004F1F3E" w:rsidP="003A019C">
          <w:pPr>
            <w:shd w:val="clear" w:color="auto" w:fill="F3F3F3"/>
            <w:spacing w:before="0" w:after="0" w:line="240" w:lineRule="auto"/>
            <w:jc w:val="center"/>
            <w:rPr>
              <w:rFonts w:cstheme="minorHAnsi"/>
              <w:b/>
              <w:szCs w:val="22"/>
            </w:rPr>
          </w:pPr>
        </w:p>
        <w:p w:rsidR="003A019C" w:rsidRPr="00C00F2A" w:rsidRDefault="003A019C">
          <w:pPr>
            <w:rPr>
              <w:rFonts w:eastAsiaTheme="majorEastAsia" w:cstheme="majorBidi"/>
              <w:caps/>
              <w:sz w:val="22"/>
              <w:szCs w:val="22"/>
            </w:rPr>
          </w:pPr>
        </w:p>
        <w:p w:rsidR="003A019C" w:rsidRPr="00C00F2A" w:rsidRDefault="003A019C">
          <w:pPr>
            <w:rPr>
              <w:rFonts w:eastAsiaTheme="majorEastAsia" w:cstheme="majorBidi"/>
              <w:caps/>
              <w:sz w:val="22"/>
              <w:szCs w:val="22"/>
            </w:rPr>
          </w:pPr>
        </w:p>
        <w:p w:rsidR="003A019C" w:rsidRPr="00C00F2A" w:rsidRDefault="003A019C">
          <w:pPr>
            <w:rPr>
              <w:rFonts w:eastAsiaTheme="majorEastAsia" w:cstheme="majorBidi"/>
              <w:caps/>
              <w:sz w:val="22"/>
              <w:szCs w:val="22"/>
            </w:rPr>
          </w:pPr>
        </w:p>
        <w:p w:rsidR="008566A1" w:rsidRPr="00C00F2A" w:rsidRDefault="008566A1">
          <w:pPr>
            <w:rPr>
              <w:rFonts w:eastAsiaTheme="majorEastAsia" w:cstheme="majorBidi"/>
              <w:caps/>
              <w:sz w:val="22"/>
              <w:szCs w:val="22"/>
            </w:rPr>
          </w:pPr>
        </w:p>
        <w:p w:rsidR="008566A1" w:rsidRDefault="008566A1">
          <w:pPr>
            <w:rPr>
              <w:rFonts w:eastAsiaTheme="majorEastAsia" w:cstheme="majorBidi"/>
              <w:caps/>
              <w:sz w:val="22"/>
              <w:szCs w:val="22"/>
            </w:rPr>
          </w:pPr>
        </w:p>
        <w:p w:rsidR="00B52F15" w:rsidRDefault="00B52F15">
          <w:pPr>
            <w:rPr>
              <w:rFonts w:eastAsiaTheme="majorEastAsia" w:cstheme="majorBidi"/>
              <w:caps/>
              <w:sz w:val="22"/>
              <w:szCs w:val="22"/>
            </w:rPr>
          </w:pPr>
        </w:p>
        <w:p w:rsidR="00C73B08" w:rsidRPr="00C00F2A" w:rsidRDefault="008932E1">
          <w:pPr>
            <w:rPr>
              <w:rFonts w:eastAsiaTheme="majorEastAsia" w:cstheme="majorBidi"/>
              <w:caps/>
              <w:sz w:val="22"/>
              <w:szCs w:val="22"/>
            </w:rPr>
          </w:pPr>
        </w:p>
      </w:sdtContent>
    </w:sdt>
    <w:sdt>
      <w:sdtPr>
        <w:rPr>
          <w:b w:val="0"/>
          <w:bCs w:val="0"/>
          <w:caps w:val="0"/>
          <w:color w:val="auto"/>
          <w:spacing w:val="0"/>
          <w:sz w:val="24"/>
          <w:szCs w:val="20"/>
          <w:lang w:bidi="ar-SA"/>
        </w:rPr>
        <w:id w:val="163910963"/>
        <w:docPartObj>
          <w:docPartGallery w:val="Table of Contents"/>
          <w:docPartUnique/>
        </w:docPartObj>
      </w:sdtPr>
      <w:sdtEndPr>
        <w:rPr>
          <w:noProof/>
        </w:rPr>
      </w:sdtEndPr>
      <w:sdtContent>
        <w:p w:rsidR="00313741" w:rsidRPr="00C00F2A" w:rsidRDefault="003B3400">
          <w:pPr>
            <w:pStyle w:val="TOCHeading"/>
          </w:pPr>
          <w:r w:rsidRPr="00C00F2A">
            <w:t>sadržaj</w:t>
          </w:r>
        </w:p>
        <w:p w:rsidR="00130CB3" w:rsidRPr="00C00F2A" w:rsidRDefault="00313741" w:rsidP="003A019C">
          <w:pPr>
            <w:pStyle w:val="TOC2"/>
            <w:tabs>
              <w:tab w:val="right" w:leader="dot" w:pos="9350"/>
            </w:tabs>
            <w:spacing w:line="240" w:lineRule="auto"/>
            <w:rPr>
              <w:noProof/>
              <w:sz w:val="22"/>
              <w:szCs w:val="22"/>
              <w:lang w:eastAsia="uz-Cyrl-UZ"/>
            </w:rPr>
          </w:pPr>
          <w:r w:rsidRPr="00C00F2A">
            <w:rPr>
              <w:sz w:val="22"/>
              <w:szCs w:val="22"/>
            </w:rPr>
            <w:fldChar w:fldCharType="begin"/>
          </w:r>
          <w:r w:rsidRPr="00C00F2A">
            <w:rPr>
              <w:sz w:val="22"/>
              <w:szCs w:val="22"/>
            </w:rPr>
            <w:instrText xml:space="preserve"> TOC \o "1-3" \h \z \u </w:instrText>
          </w:r>
          <w:r w:rsidRPr="00C00F2A">
            <w:rPr>
              <w:sz w:val="22"/>
              <w:szCs w:val="22"/>
            </w:rPr>
            <w:fldChar w:fldCharType="separate"/>
          </w:r>
          <w:hyperlink w:anchor="_Toc473540809" w:history="1">
            <w:r w:rsidR="00130CB3" w:rsidRPr="00C00F2A">
              <w:rPr>
                <w:rStyle w:val="Hyperlink"/>
                <w:noProof/>
                <w:sz w:val="22"/>
                <w:szCs w:val="22"/>
              </w:rPr>
              <w:t>Svrha i opis dokumenta</w:t>
            </w:r>
            <w:r w:rsidR="00130CB3" w:rsidRPr="00C00F2A">
              <w:rPr>
                <w:noProof/>
                <w:webHidden/>
                <w:sz w:val="22"/>
                <w:szCs w:val="22"/>
              </w:rPr>
              <w:tab/>
            </w:r>
            <w:r w:rsidR="00130CB3" w:rsidRPr="00C00F2A">
              <w:rPr>
                <w:noProof/>
                <w:webHidden/>
                <w:sz w:val="22"/>
                <w:szCs w:val="22"/>
              </w:rPr>
              <w:fldChar w:fldCharType="begin"/>
            </w:r>
            <w:r w:rsidR="00130CB3" w:rsidRPr="00C00F2A">
              <w:rPr>
                <w:noProof/>
                <w:webHidden/>
                <w:sz w:val="22"/>
                <w:szCs w:val="22"/>
              </w:rPr>
              <w:instrText xml:space="preserve"> PAGEREF _Toc473540809 \h </w:instrText>
            </w:r>
            <w:r w:rsidR="00130CB3" w:rsidRPr="00C00F2A">
              <w:rPr>
                <w:noProof/>
                <w:webHidden/>
                <w:sz w:val="22"/>
                <w:szCs w:val="22"/>
              </w:rPr>
            </w:r>
            <w:r w:rsidR="00130CB3" w:rsidRPr="00C00F2A">
              <w:rPr>
                <w:noProof/>
                <w:webHidden/>
                <w:sz w:val="22"/>
                <w:szCs w:val="22"/>
              </w:rPr>
              <w:fldChar w:fldCharType="separate"/>
            </w:r>
            <w:r w:rsidR="00130CB3" w:rsidRPr="00C00F2A">
              <w:rPr>
                <w:noProof/>
                <w:webHidden/>
                <w:sz w:val="22"/>
                <w:szCs w:val="22"/>
              </w:rPr>
              <w:t>3</w:t>
            </w:r>
            <w:r w:rsidR="00130CB3" w:rsidRPr="00C00F2A">
              <w:rPr>
                <w:noProof/>
                <w:webHidden/>
                <w:sz w:val="22"/>
                <w:szCs w:val="22"/>
              </w:rPr>
              <w:fldChar w:fldCharType="end"/>
            </w:r>
          </w:hyperlink>
        </w:p>
        <w:p w:rsidR="00130CB3" w:rsidRPr="00C00F2A" w:rsidRDefault="008932E1" w:rsidP="003A019C">
          <w:pPr>
            <w:pStyle w:val="TOC2"/>
            <w:tabs>
              <w:tab w:val="right" w:leader="dot" w:pos="9350"/>
            </w:tabs>
            <w:spacing w:line="240" w:lineRule="auto"/>
            <w:rPr>
              <w:noProof/>
              <w:sz w:val="22"/>
              <w:szCs w:val="22"/>
              <w:lang w:eastAsia="uz-Cyrl-UZ"/>
            </w:rPr>
          </w:pPr>
          <w:hyperlink w:anchor="_Toc473540810" w:history="1">
            <w:r w:rsidR="00130CB3" w:rsidRPr="00C00F2A">
              <w:rPr>
                <w:rStyle w:val="Hyperlink"/>
                <w:noProof/>
                <w:sz w:val="22"/>
                <w:szCs w:val="22"/>
              </w:rPr>
              <w:t>Osnovni pojmovi</w:t>
            </w:r>
            <w:r w:rsidR="00130CB3" w:rsidRPr="00C00F2A">
              <w:rPr>
                <w:noProof/>
                <w:webHidden/>
                <w:sz w:val="22"/>
                <w:szCs w:val="22"/>
              </w:rPr>
              <w:tab/>
            </w:r>
            <w:r w:rsidR="00443A1F">
              <w:rPr>
                <w:noProof/>
                <w:webHidden/>
                <w:sz w:val="22"/>
                <w:szCs w:val="22"/>
              </w:rPr>
              <w:t>4</w:t>
            </w:r>
          </w:hyperlink>
        </w:p>
        <w:p w:rsidR="00130CB3" w:rsidRPr="00C00F2A" w:rsidRDefault="008932E1" w:rsidP="003A019C">
          <w:pPr>
            <w:pStyle w:val="TOC3"/>
            <w:tabs>
              <w:tab w:val="right" w:leader="dot" w:pos="9350"/>
            </w:tabs>
            <w:spacing w:line="240" w:lineRule="auto"/>
            <w:rPr>
              <w:noProof/>
              <w:sz w:val="22"/>
              <w:szCs w:val="22"/>
              <w:lang w:eastAsia="uz-Cyrl-UZ"/>
            </w:rPr>
          </w:pPr>
          <w:hyperlink w:anchor="_Toc473540811" w:history="1">
            <w:r w:rsidR="00130CB3" w:rsidRPr="00C00F2A">
              <w:rPr>
                <w:rStyle w:val="Hyperlink"/>
                <w:noProof/>
                <w:sz w:val="22"/>
                <w:szCs w:val="22"/>
              </w:rPr>
              <w:t>Osobe sa mentalnim smetnjama</w:t>
            </w:r>
            <w:r w:rsidR="00130CB3" w:rsidRPr="00C00F2A">
              <w:rPr>
                <w:noProof/>
                <w:webHidden/>
                <w:sz w:val="22"/>
                <w:szCs w:val="22"/>
              </w:rPr>
              <w:tab/>
            </w:r>
            <w:r w:rsidR="00443A1F">
              <w:rPr>
                <w:noProof/>
                <w:webHidden/>
                <w:sz w:val="22"/>
                <w:szCs w:val="22"/>
              </w:rPr>
              <w:t>4</w:t>
            </w:r>
          </w:hyperlink>
        </w:p>
        <w:p w:rsidR="00130CB3" w:rsidRPr="00C00F2A" w:rsidRDefault="008932E1" w:rsidP="003A019C">
          <w:pPr>
            <w:pStyle w:val="TOC3"/>
            <w:tabs>
              <w:tab w:val="right" w:leader="dot" w:pos="9350"/>
            </w:tabs>
            <w:spacing w:line="240" w:lineRule="auto"/>
            <w:rPr>
              <w:noProof/>
              <w:sz w:val="22"/>
              <w:szCs w:val="22"/>
              <w:lang w:eastAsia="uz-Cyrl-UZ"/>
            </w:rPr>
          </w:pPr>
          <w:hyperlink w:anchor="_Toc473540812" w:history="1">
            <w:r w:rsidR="00130CB3" w:rsidRPr="00C00F2A">
              <w:rPr>
                <w:rStyle w:val="Hyperlink"/>
                <w:noProof/>
                <w:sz w:val="22"/>
                <w:szCs w:val="22"/>
              </w:rPr>
              <w:t>Osobe sa mentalnim oboljenjima</w:t>
            </w:r>
            <w:r w:rsidR="00130CB3" w:rsidRPr="00C00F2A">
              <w:rPr>
                <w:noProof/>
                <w:webHidden/>
                <w:sz w:val="22"/>
                <w:szCs w:val="22"/>
              </w:rPr>
              <w:tab/>
            </w:r>
            <w:r w:rsidR="00443A1F">
              <w:rPr>
                <w:noProof/>
                <w:webHidden/>
                <w:sz w:val="22"/>
                <w:szCs w:val="22"/>
              </w:rPr>
              <w:t>4</w:t>
            </w:r>
          </w:hyperlink>
        </w:p>
        <w:p w:rsidR="00130CB3" w:rsidRPr="00C00F2A" w:rsidRDefault="008932E1" w:rsidP="003A019C">
          <w:pPr>
            <w:pStyle w:val="TOC3"/>
            <w:tabs>
              <w:tab w:val="right" w:leader="dot" w:pos="9350"/>
            </w:tabs>
            <w:spacing w:line="240" w:lineRule="auto"/>
            <w:rPr>
              <w:noProof/>
              <w:sz w:val="22"/>
              <w:szCs w:val="22"/>
              <w:lang w:eastAsia="uz-Cyrl-UZ"/>
            </w:rPr>
          </w:pPr>
          <w:hyperlink w:anchor="_Toc473540813" w:history="1">
            <w:r w:rsidR="00130CB3" w:rsidRPr="00C00F2A">
              <w:rPr>
                <w:rStyle w:val="Hyperlink"/>
                <w:noProof/>
                <w:sz w:val="22"/>
                <w:szCs w:val="22"/>
              </w:rPr>
              <w:t>Institucionalno zbrinjavanje</w:t>
            </w:r>
            <w:r w:rsidR="00130CB3" w:rsidRPr="00C00F2A">
              <w:rPr>
                <w:noProof/>
                <w:webHidden/>
                <w:sz w:val="22"/>
                <w:szCs w:val="22"/>
              </w:rPr>
              <w:tab/>
            </w:r>
            <w:r w:rsidR="00443A1F">
              <w:rPr>
                <w:noProof/>
                <w:webHidden/>
                <w:sz w:val="22"/>
                <w:szCs w:val="22"/>
              </w:rPr>
              <w:t>4</w:t>
            </w:r>
          </w:hyperlink>
        </w:p>
        <w:p w:rsidR="00130CB3" w:rsidRPr="00C00F2A" w:rsidRDefault="008932E1" w:rsidP="003A019C">
          <w:pPr>
            <w:pStyle w:val="TOC3"/>
            <w:tabs>
              <w:tab w:val="right" w:leader="dot" w:pos="9350"/>
            </w:tabs>
            <w:spacing w:line="240" w:lineRule="auto"/>
            <w:rPr>
              <w:noProof/>
              <w:sz w:val="22"/>
              <w:szCs w:val="22"/>
              <w:lang w:eastAsia="uz-Cyrl-UZ"/>
            </w:rPr>
          </w:pPr>
          <w:hyperlink w:anchor="_Toc473540814" w:history="1">
            <w:r w:rsidR="00130CB3" w:rsidRPr="00C00F2A">
              <w:rPr>
                <w:rStyle w:val="Hyperlink"/>
                <w:noProof/>
                <w:sz w:val="22"/>
                <w:szCs w:val="22"/>
              </w:rPr>
              <w:t>Deinstitucionalizacija</w:t>
            </w:r>
            <w:r w:rsidR="00130CB3" w:rsidRPr="00C00F2A">
              <w:rPr>
                <w:noProof/>
                <w:webHidden/>
                <w:sz w:val="22"/>
                <w:szCs w:val="22"/>
              </w:rPr>
              <w:tab/>
            </w:r>
            <w:r w:rsidR="00443A1F">
              <w:rPr>
                <w:noProof/>
                <w:webHidden/>
                <w:sz w:val="22"/>
                <w:szCs w:val="22"/>
              </w:rPr>
              <w:t>5</w:t>
            </w:r>
          </w:hyperlink>
        </w:p>
        <w:p w:rsidR="00130CB3" w:rsidRPr="00C00F2A" w:rsidRDefault="008932E1" w:rsidP="003A019C">
          <w:pPr>
            <w:pStyle w:val="TOC3"/>
            <w:tabs>
              <w:tab w:val="right" w:leader="dot" w:pos="9350"/>
            </w:tabs>
            <w:spacing w:line="240" w:lineRule="auto"/>
            <w:rPr>
              <w:noProof/>
              <w:sz w:val="22"/>
              <w:szCs w:val="22"/>
              <w:lang w:eastAsia="uz-Cyrl-UZ"/>
            </w:rPr>
          </w:pPr>
          <w:hyperlink w:anchor="_Toc473540815" w:history="1">
            <w:r w:rsidR="00130CB3" w:rsidRPr="00C00F2A">
              <w:rPr>
                <w:rStyle w:val="Hyperlink"/>
                <w:noProof/>
                <w:sz w:val="22"/>
                <w:szCs w:val="22"/>
              </w:rPr>
              <w:t>Prevencija</w:t>
            </w:r>
            <w:r w:rsidR="00130CB3" w:rsidRPr="00C00F2A">
              <w:rPr>
                <w:noProof/>
                <w:webHidden/>
                <w:sz w:val="22"/>
                <w:szCs w:val="22"/>
              </w:rPr>
              <w:tab/>
            </w:r>
            <w:r w:rsidR="00443A1F">
              <w:rPr>
                <w:noProof/>
                <w:webHidden/>
                <w:sz w:val="22"/>
                <w:szCs w:val="22"/>
              </w:rPr>
              <w:t>5</w:t>
            </w:r>
          </w:hyperlink>
        </w:p>
        <w:p w:rsidR="00130CB3" w:rsidRPr="00C00F2A" w:rsidRDefault="008932E1" w:rsidP="003A019C">
          <w:pPr>
            <w:pStyle w:val="TOC3"/>
            <w:tabs>
              <w:tab w:val="right" w:leader="dot" w:pos="9350"/>
            </w:tabs>
            <w:spacing w:line="240" w:lineRule="auto"/>
            <w:rPr>
              <w:noProof/>
              <w:sz w:val="22"/>
              <w:szCs w:val="22"/>
              <w:lang w:eastAsia="uz-Cyrl-UZ"/>
            </w:rPr>
          </w:pPr>
          <w:hyperlink w:anchor="_Toc473540816" w:history="1">
            <w:r w:rsidR="00130CB3" w:rsidRPr="00C00F2A">
              <w:rPr>
                <w:rStyle w:val="Hyperlink"/>
                <w:noProof/>
                <w:sz w:val="22"/>
                <w:szCs w:val="22"/>
              </w:rPr>
              <w:t>Mentalno zdravlje u zajednici</w:t>
            </w:r>
            <w:r w:rsidR="00130CB3" w:rsidRPr="00C00F2A">
              <w:rPr>
                <w:noProof/>
                <w:webHidden/>
                <w:sz w:val="22"/>
                <w:szCs w:val="22"/>
              </w:rPr>
              <w:tab/>
            </w:r>
            <w:r w:rsidR="00443A1F">
              <w:rPr>
                <w:noProof/>
                <w:webHidden/>
                <w:sz w:val="22"/>
                <w:szCs w:val="22"/>
              </w:rPr>
              <w:t>5</w:t>
            </w:r>
          </w:hyperlink>
        </w:p>
        <w:p w:rsidR="00130CB3" w:rsidRPr="00C00F2A" w:rsidRDefault="008932E1" w:rsidP="003A019C">
          <w:pPr>
            <w:pStyle w:val="TOC3"/>
            <w:tabs>
              <w:tab w:val="right" w:leader="dot" w:pos="9350"/>
            </w:tabs>
            <w:spacing w:line="240" w:lineRule="auto"/>
            <w:rPr>
              <w:noProof/>
              <w:sz w:val="22"/>
              <w:szCs w:val="22"/>
              <w:lang w:eastAsia="uz-Cyrl-UZ"/>
            </w:rPr>
          </w:pPr>
          <w:hyperlink w:anchor="_Toc473540817" w:history="1">
            <w:r w:rsidR="00130CB3" w:rsidRPr="00C00F2A">
              <w:rPr>
                <w:rStyle w:val="Hyperlink"/>
                <w:noProof/>
                <w:sz w:val="22"/>
                <w:szCs w:val="22"/>
              </w:rPr>
              <w:t>Usluge u zajednici</w:t>
            </w:r>
            <w:r w:rsidR="00130CB3" w:rsidRPr="00C00F2A">
              <w:rPr>
                <w:noProof/>
                <w:webHidden/>
                <w:sz w:val="22"/>
                <w:szCs w:val="22"/>
              </w:rPr>
              <w:tab/>
            </w:r>
            <w:r w:rsidR="00443A1F">
              <w:rPr>
                <w:noProof/>
                <w:webHidden/>
                <w:sz w:val="22"/>
                <w:szCs w:val="22"/>
              </w:rPr>
              <w:t>6</w:t>
            </w:r>
          </w:hyperlink>
        </w:p>
        <w:p w:rsidR="00130CB3" w:rsidRPr="00C00F2A" w:rsidRDefault="008932E1" w:rsidP="003A019C">
          <w:pPr>
            <w:pStyle w:val="TOC3"/>
            <w:tabs>
              <w:tab w:val="right" w:leader="dot" w:pos="9350"/>
            </w:tabs>
            <w:spacing w:line="240" w:lineRule="auto"/>
            <w:rPr>
              <w:noProof/>
              <w:sz w:val="22"/>
              <w:szCs w:val="22"/>
              <w:lang w:eastAsia="uz-Cyrl-UZ"/>
            </w:rPr>
          </w:pPr>
          <w:hyperlink w:anchor="_Toc473540818" w:history="1">
            <w:r w:rsidR="00130CB3" w:rsidRPr="00C00F2A">
              <w:rPr>
                <w:rStyle w:val="Hyperlink"/>
                <w:noProof/>
                <w:sz w:val="22"/>
                <w:szCs w:val="22"/>
              </w:rPr>
              <w:t>Službe za mentalno zdravlje u zajednici</w:t>
            </w:r>
            <w:r w:rsidR="00130CB3" w:rsidRPr="00C00F2A">
              <w:rPr>
                <w:noProof/>
                <w:webHidden/>
                <w:sz w:val="22"/>
                <w:szCs w:val="22"/>
              </w:rPr>
              <w:tab/>
            </w:r>
            <w:r w:rsidR="00443A1F">
              <w:rPr>
                <w:noProof/>
                <w:webHidden/>
                <w:sz w:val="22"/>
                <w:szCs w:val="22"/>
              </w:rPr>
              <w:t>6</w:t>
            </w:r>
          </w:hyperlink>
        </w:p>
        <w:p w:rsidR="00130CB3" w:rsidRPr="00C00F2A" w:rsidRDefault="008932E1" w:rsidP="003A019C">
          <w:pPr>
            <w:pStyle w:val="TOC3"/>
            <w:tabs>
              <w:tab w:val="right" w:leader="dot" w:pos="9350"/>
            </w:tabs>
            <w:spacing w:line="240" w:lineRule="auto"/>
            <w:rPr>
              <w:noProof/>
              <w:sz w:val="22"/>
              <w:szCs w:val="22"/>
              <w:lang w:eastAsia="uz-Cyrl-UZ"/>
            </w:rPr>
          </w:pPr>
          <w:hyperlink w:anchor="_Toc473540819" w:history="1">
            <w:r w:rsidR="00130CB3" w:rsidRPr="00C00F2A">
              <w:rPr>
                <w:rStyle w:val="Hyperlink"/>
                <w:noProof/>
                <w:sz w:val="22"/>
                <w:szCs w:val="22"/>
              </w:rPr>
              <w:t>Samostalno stanovanje</w:t>
            </w:r>
            <w:r w:rsidR="00130CB3" w:rsidRPr="00C00F2A">
              <w:rPr>
                <w:noProof/>
                <w:webHidden/>
                <w:sz w:val="22"/>
                <w:szCs w:val="22"/>
              </w:rPr>
              <w:tab/>
            </w:r>
            <w:r w:rsidR="00443A1F">
              <w:rPr>
                <w:noProof/>
                <w:webHidden/>
                <w:sz w:val="22"/>
                <w:szCs w:val="22"/>
              </w:rPr>
              <w:t>7</w:t>
            </w:r>
          </w:hyperlink>
        </w:p>
        <w:p w:rsidR="00130CB3" w:rsidRPr="00C00F2A" w:rsidRDefault="008932E1" w:rsidP="003A019C">
          <w:pPr>
            <w:pStyle w:val="TOC2"/>
            <w:tabs>
              <w:tab w:val="right" w:leader="dot" w:pos="9350"/>
            </w:tabs>
            <w:spacing w:line="240" w:lineRule="auto"/>
            <w:rPr>
              <w:noProof/>
              <w:sz w:val="22"/>
              <w:szCs w:val="22"/>
              <w:lang w:eastAsia="uz-Cyrl-UZ"/>
            </w:rPr>
          </w:pPr>
          <w:hyperlink w:anchor="_Toc473540820" w:history="1">
            <w:r w:rsidR="00130CB3" w:rsidRPr="00C00F2A">
              <w:rPr>
                <w:rStyle w:val="Hyperlink"/>
                <w:noProof/>
                <w:sz w:val="22"/>
                <w:szCs w:val="22"/>
              </w:rPr>
              <w:t>Značaj procesa deinstitucionalizacije</w:t>
            </w:r>
            <w:r w:rsidR="00130CB3" w:rsidRPr="00C00F2A">
              <w:rPr>
                <w:noProof/>
                <w:webHidden/>
                <w:sz w:val="22"/>
                <w:szCs w:val="22"/>
              </w:rPr>
              <w:tab/>
            </w:r>
            <w:r w:rsidR="00443A1F">
              <w:rPr>
                <w:noProof/>
                <w:webHidden/>
                <w:sz w:val="22"/>
                <w:szCs w:val="22"/>
              </w:rPr>
              <w:t>8</w:t>
            </w:r>
          </w:hyperlink>
        </w:p>
        <w:p w:rsidR="00130CB3" w:rsidRPr="00C00F2A" w:rsidRDefault="008932E1" w:rsidP="003A019C">
          <w:pPr>
            <w:pStyle w:val="TOC3"/>
            <w:tabs>
              <w:tab w:val="right" w:leader="dot" w:pos="9350"/>
            </w:tabs>
            <w:spacing w:line="240" w:lineRule="auto"/>
            <w:rPr>
              <w:noProof/>
              <w:sz w:val="22"/>
              <w:szCs w:val="22"/>
              <w:lang w:eastAsia="uz-Cyrl-UZ"/>
            </w:rPr>
          </w:pPr>
          <w:hyperlink w:anchor="_Toc473540821" w:history="1">
            <w:r w:rsidR="00130CB3" w:rsidRPr="00C00F2A">
              <w:rPr>
                <w:rStyle w:val="Hyperlink"/>
                <w:noProof/>
                <w:sz w:val="22"/>
                <w:szCs w:val="22"/>
              </w:rPr>
              <w:t>Pogubni efekti institucija na zdravlje i život pojedinca</w:t>
            </w:r>
            <w:r w:rsidR="00130CB3" w:rsidRPr="00C00F2A">
              <w:rPr>
                <w:noProof/>
                <w:webHidden/>
                <w:sz w:val="22"/>
                <w:szCs w:val="22"/>
              </w:rPr>
              <w:tab/>
            </w:r>
            <w:r w:rsidR="00130CB3" w:rsidRPr="00C00F2A">
              <w:rPr>
                <w:noProof/>
                <w:webHidden/>
                <w:sz w:val="22"/>
                <w:szCs w:val="22"/>
              </w:rPr>
              <w:fldChar w:fldCharType="begin"/>
            </w:r>
            <w:r w:rsidR="00130CB3" w:rsidRPr="00C00F2A">
              <w:rPr>
                <w:noProof/>
                <w:webHidden/>
                <w:sz w:val="22"/>
                <w:szCs w:val="22"/>
              </w:rPr>
              <w:instrText xml:space="preserve"> PAGEREF _Toc473540821 \h </w:instrText>
            </w:r>
            <w:r w:rsidR="00130CB3" w:rsidRPr="00C00F2A">
              <w:rPr>
                <w:noProof/>
                <w:webHidden/>
                <w:sz w:val="22"/>
                <w:szCs w:val="22"/>
              </w:rPr>
            </w:r>
            <w:r w:rsidR="00130CB3" w:rsidRPr="00C00F2A">
              <w:rPr>
                <w:noProof/>
                <w:webHidden/>
                <w:sz w:val="22"/>
                <w:szCs w:val="22"/>
              </w:rPr>
              <w:fldChar w:fldCharType="separate"/>
            </w:r>
            <w:r w:rsidR="00130CB3" w:rsidRPr="00C00F2A">
              <w:rPr>
                <w:noProof/>
                <w:webHidden/>
                <w:sz w:val="22"/>
                <w:szCs w:val="22"/>
              </w:rPr>
              <w:t>1</w:t>
            </w:r>
            <w:r w:rsidR="00443A1F">
              <w:rPr>
                <w:noProof/>
                <w:webHidden/>
                <w:sz w:val="22"/>
                <w:szCs w:val="22"/>
              </w:rPr>
              <w:t>0</w:t>
            </w:r>
            <w:r w:rsidR="00130CB3" w:rsidRPr="00C00F2A">
              <w:rPr>
                <w:noProof/>
                <w:webHidden/>
                <w:sz w:val="22"/>
                <w:szCs w:val="22"/>
              </w:rPr>
              <w:fldChar w:fldCharType="end"/>
            </w:r>
          </w:hyperlink>
        </w:p>
        <w:p w:rsidR="00130CB3" w:rsidRPr="00C00F2A" w:rsidRDefault="008932E1" w:rsidP="003A019C">
          <w:pPr>
            <w:pStyle w:val="TOC3"/>
            <w:tabs>
              <w:tab w:val="right" w:leader="dot" w:pos="9350"/>
            </w:tabs>
            <w:spacing w:line="240" w:lineRule="auto"/>
            <w:rPr>
              <w:noProof/>
              <w:sz w:val="22"/>
              <w:szCs w:val="22"/>
              <w:lang w:eastAsia="uz-Cyrl-UZ"/>
            </w:rPr>
          </w:pPr>
          <w:hyperlink w:anchor="_Toc473540822" w:history="1">
            <w:r w:rsidR="00130CB3" w:rsidRPr="00C00F2A">
              <w:rPr>
                <w:rStyle w:val="Hyperlink"/>
                <w:noProof/>
                <w:sz w:val="22"/>
                <w:szCs w:val="22"/>
              </w:rPr>
              <w:t>Deinstitucionalizacija i ljudska prava</w:t>
            </w:r>
            <w:r w:rsidR="00130CB3" w:rsidRPr="00C00F2A">
              <w:rPr>
                <w:noProof/>
                <w:webHidden/>
                <w:sz w:val="22"/>
                <w:szCs w:val="22"/>
              </w:rPr>
              <w:tab/>
            </w:r>
            <w:r w:rsidR="00130CB3" w:rsidRPr="00C00F2A">
              <w:rPr>
                <w:noProof/>
                <w:webHidden/>
                <w:sz w:val="22"/>
                <w:szCs w:val="22"/>
              </w:rPr>
              <w:fldChar w:fldCharType="begin"/>
            </w:r>
            <w:r w:rsidR="00130CB3" w:rsidRPr="00C00F2A">
              <w:rPr>
                <w:noProof/>
                <w:webHidden/>
                <w:sz w:val="22"/>
                <w:szCs w:val="22"/>
              </w:rPr>
              <w:instrText xml:space="preserve"> PAGEREF _Toc473540822 \h </w:instrText>
            </w:r>
            <w:r w:rsidR="00130CB3" w:rsidRPr="00C00F2A">
              <w:rPr>
                <w:noProof/>
                <w:webHidden/>
                <w:sz w:val="22"/>
                <w:szCs w:val="22"/>
              </w:rPr>
            </w:r>
            <w:r w:rsidR="00130CB3" w:rsidRPr="00C00F2A">
              <w:rPr>
                <w:noProof/>
                <w:webHidden/>
                <w:sz w:val="22"/>
                <w:szCs w:val="22"/>
              </w:rPr>
              <w:fldChar w:fldCharType="separate"/>
            </w:r>
            <w:r w:rsidR="00130CB3" w:rsidRPr="00C00F2A">
              <w:rPr>
                <w:noProof/>
                <w:webHidden/>
                <w:sz w:val="22"/>
                <w:szCs w:val="22"/>
              </w:rPr>
              <w:t>11</w:t>
            </w:r>
            <w:r w:rsidR="00130CB3" w:rsidRPr="00C00F2A">
              <w:rPr>
                <w:noProof/>
                <w:webHidden/>
                <w:sz w:val="22"/>
                <w:szCs w:val="22"/>
              </w:rPr>
              <w:fldChar w:fldCharType="end"/>
            </w:r>
          </w:hyperlink>
        </w:p>
        <w:p w:rsidR="00130CB3" w:rsidRPr="00C00F2A" w:rsidRDefault="008932E1" w:rsidP="003A019C">
          <w:pPr>
            <w:pStyle w:val="TOC3"/>
            <w:tabs>
              <w:tab w:val="right" w:leader="dot" w:pos="9350"/>
            </w:tabs>
            <w:spacing w:line="240" w:lineRule="auto"/>
            <w:rPr>
              <w:noProof/>
              <w:sz w:val="22"/>
              <w:szCs w:val="22"/>
              <w:lang w:eastAsia="uz-Cyrl-UZ"/>
            </w:rPr>
          </w:pPr>
          <w:hyperlink w:anchor="_Toc473540823" w:history="1">
            <w:r w:rsidR="00130CB3" w:rsidRPr="00C00F2A">
              <w:rPr>
                <w:rStyle w:val="Hyperlink"/>
                <w:noProof/>
                <w:sz w:val="22"/>
                <w:szCs w:val="22"/>
              </w:rPr>
              <w:t>Pravo na život u zajednici i poslovna sposobnost</w:t>
            </w:r>
            <w:r w:rsidR="00130CB3" w:rsidRPr="00C00F2A">
              <w:rPr>
                <w:noProof/>
                <w:webHidden/>
                <w:sz w:val="22"/>
                <w:szCs w:val="22"/>
              </w:rPr>
              <w:tab/>
            </w:r>
            <w:r w:rsidR="00130CB3" w:rsidRPr="00C00F2A">
              <w:rPr>
                <w:noProof/>
                <w:webHidden/>
                <w:sz w:val="22"/>
                <w:szCs w:val="22"/>
              </w:rPr>
              <w:fldChar w:fldCharType="begin"/>
            </w:r>
            <w:r w:rsidR="00130CB3" w:rsidRPr="00C00F2A">
              <w:rPr>
                <w:noProof/>
                <w:webHidden/>
                <w:sz w:val="22"/>
                <w:szCs w:val="22"/>
              </w:rPr>
              <w:instrText xml:space="preserve"> PAGEREF _Toc473540823 \h </w:instrText>
            </w:r>
            <w:r w:rsidR="00130CB3" w:rsidRPr="00C00F2A">
              <w:rPr>
                <w:noProof/>
                <w:webHidden/>
                <w:sz w:val="22"/>
                <w:szCs w:val="22"/>
              </w:rPr>
            </w:r>
            <w:r w:rsidR="00130CB3" w:rsidRPr="00C00F2A">
              <w:rPr>
                <w:noProof/>
                <w:webHidden/>
                <w:sz w:val="22"/>
                <w:szCs w:val="22"/>
              </w:rPr>
              <w:fldChar w:fldCharType="separate"/>
            </w:r>
            <w:r w:rsidR="00130CB3" w:rsidRPr="00C00F2A">
              <w:rPr>
                <w:noProof/>
                <w:webHidden/>
                <w:sz w:val="22"/>
                <w:szCs w:val="22"/>
              </w:rPr>
              <w:t>1</w:t>
            </w:r>
            <w:r w:rsidR="00443A1F">
              <w:rPr>
                <w:noProof/>
                <w:webHidden/>
                <w:sz w:val="22"/>
                <w:szCs w:val="22"/>
              </w:rPr>
              <w:t>2</w:t>
            </w:r>
            <w:r w:rsidR="00130CB3" w:rsidRPr="00C00F2A">
              <w:rPr>
                <w:noProof/>
                <w:webHidden/>
                <w:sz w:val="22"/>
                <w:szCs w:val="22"/>
              </w:rPr>
              <w:fldChar w:fldCharType="end"/>
            </w:r>
          </w:hyperlink>
        </w:p>
        <w:p w:rsidR="00130CB3" w:rsidRPr="00C00F2A" w:rsidRDefault="008932E1" w:rsidP="003A019C">
          <w:pPr>
            <w:pStyle w:val="TOC3"/>
            <w:tabs>
              <w:tab w:val="right" w:leader="dot" w:pos="9350"/>
            </w:tabs>
            <w:spacing w:line="240" w:lineRule="auto"/>
            <w:rPr>
              <w:noProof/>
              <w:sz w:val="22"/>
              <w:szCs w:val="22"/>
              <w:lang w:eastAsia="uz-Cyrl-UZ"/>
            </w:rPr>
          </w:pPr>
          <w:hyperlink w:anchor="_Toc473540824" w:history="1">
            <w:r w:rsidR="00130CB3" w:rsidRPr="00C00F2A">
              <w:rPr>
                <w:rStyle w:val="Hyperlink"/>
                <w:noProof/>
                <w:sz w:val="22"/>
                <w:szCs w:val="22"/>
              </w:rPr>
              <w:t>Bolje korišćenje resursa i pristup evropskim fondovima</w:t>
            </w:r>
            <w:r w:rsidR="00130CB3" w:rsidRPr="00C00F2A">
              <w:rPr>
                <w:noProof/>
                <w:webHidden/>
                <w:sz w:val="22"/>
                <w:szCs w:val="22"/>
              </w:rPr>
              <w:tab/>
            </w:r>
            <w:r w:rsidR="00130CB3" w:rsidRPr="00C00F2A">
              <w:rPr>
                <w:noProof/>
                <w:webHidden/>
                <w:sz w:val="22"/>
                <w:szCs w:val="22"/>
              </w:rPr>
              <w:fldChar w:fldCharType="begin"/>
            </w:r>
            <w:r w:rsidR="00130CB3" w:rsidRPr="00C00F2A">
              <w:rPr>
                <w:noProof/>
                <w:webHidden/>
                <w:sz w:val="22"/>
                <w:szCs w:val="22"/>
              </w:rPr>
              <w:instrText xml:space="preserve"> PAGEREF _Toc473540824 \h </w:instrText>
            </w:r>
            <w:r w:rsidR="00130CB3" w:rsidRPr="00C00F2A">
              <w:rPr>
                <w:noProof/>
                <w:webHidden/>
                <w:sz w:val="22"/>
                <w:szCs w:val="22"/>
              </w:rPr>
            </w:r>
            <w:r w:rsidR="00130CB3" w:rsidRPr="00C00F2A">
              <w:rPr>
                <w:noProof/>
                <w:webHidden/>
                <w:sz w:val="22"/>
                <w:szCs w:val="22"/>
              </w:rPr>
              <w:fldChar w:fldCharType="separate"/>
            </w:r>
            <w:r w:rsidR="00130CB3" w:rsidRPr="00C00F2A">
              <w:rPr>
                <w:noProof/>
                <w:webHidden/>
                <w:sz w:val="22"/>
                <w:szCs w:val="22"/>
              </w:rPr>
              <w:t>1</w:t>
            </w:r>
            <w:r w:rsidR="00443A1F">
              <w:rPr>
                <w:noProof/>
                <w:webHidden/>
                <w:sz w:val="22"/>
                <w:szCs w:val="22"/>
              </w:rPr>
              <w:t>4</w:t>
            </w:r>
            <w:r w:rsidR="00130CB3" w:rsidRPr="00C00F2A">
              <w:rPr>
                <w:noProof/>
                <w:webHidden/>
                <w:sz w:val="22"/>
                <w:szCs w:val="22"/>
              </w:rPr>
              <w:fldChar w:fldCharType="end"/>
            </w:r>
          </w:hyperlink>
        </w:p>
        <w:p w:rsidR="00130CB3" w:rsidRPr="00C00F2A" w:rsidRDefault="008932E1" w:rsidP="003A019C">
          <w:pPr>
            <w:pStyle w:val="TOC2"/>
            <w:tabs>
              <w:tab w:val="right" w:leader="dot" w:pos="9350"/>
            </w:tabs>
            <w:spacing w:line="240" w:lineRule="auto"/>
            <w:rPr>
              <w:noProof/>
              <w:sz w:val="22"/>
              <w:szCs w:val="22"/>
              <w:lang w:eastAsia="uz-Cyrl-UZ"/>
            </w:rPr>
          </w:pPr>
          <w:hyperlink w:anchor="_Toc473540825" w:history="1">
            <w:r w:rsidR="00130CB3" w:rsidRPr="00C00F2A">
              <w:rPr>
                <w:rStyle w:val="Hyperlink"/>
                <w:noProof/>
                <w:sz w:val="22"/>
                <w:szCs w:val="22"/>
              </w:rPr>
              <w:t>Uporedni prikaz procesa deinstitucionalizacije: prim</w:t>
            </w:r>
            <w:r w:rsidR="00C151E6" w:rsidRPr="00C00F2A">
              <w:rPr>
                <w:rStyle w:val="Hyperlink"/>
                <w:noProof/>
                <w:sz w:val="22"/>
                <w:szCs w:val="22"/>
              </w:rPr>
              <w:t>j</w:t>
            </w:r>
            <w:r w:rsidR="00130CB3" w:rsidRPr="00C00F2A">
              <w:rPr>
                <w:rStyle w:val="Hyperlink"/>
                <w:noProof/>
                <w:sz w:val="22"/>
                <w:szCs w:val="22"/>
              </w:rPr>
              <w:t>eri dobre prakse</w:t>
            </w:r>
            <w:r w:rsidR="00130CB3" w:rsidRPr="00C00F2A">
              <w:rPr>
                <w:noProof/>
                <w:webHidden/>
                <w:sz w:val="22"/>
                <w:szCs w:val="22"/>
              </w:rPr>
              <w:tab/>
            </w:r>
            <w:r w:rsidR="00443A1F">
              <w:rPr>
                <w:noProof/>
                <w:webHidden/>
                <w:sz w:val="22"/>
                <w:szCs w:val="22"/>
              </w:rPr>
              <w:t>17</w:t>
            </w:r>
          </w:hyperlink>
        </w:p>
        <w:p w:rsidR="00130CB3" w:rsidRPr="00C00F2A" w:rsidRDefault="008932E1" w:rsidP="003A019C">
          <w:pPr>
            <w:pStyle w:val="TOC3"/>
            <w:tabs>
              <w:tab w:val="right" w:leader="dot" w:pos="9350"/>
            </w:tabs>
            <w:spacing w:line="240" w:lineRule="auto"/>
            <w:rPr>
              <w:noProof/>
              <w:sz w:val="22"/>
              <w:szCs w:val="22"/>
              <w:lang w:eastAsia="uz-Cyrl-UZ"/>
            </w:rPr>
          </w:pPr>
          <w:hyperlink w:anchor="_Toc473540826" w:history="1">
            <w:r w:rsidR="00130CB3" w:rsidRPr="00C00F2A">
              <w:rPr>
                <w:rStyle w:val="Hyperlink"/>
                <w:noProof/>
                <w:sz w:val="22"/>
                <w:szCs w:val="22"/>
              </w:rPr>
              <w:t>Noviji prim</w:t>
            </w:r>
            <w:r w:rsidR="00C151E6" w:rsidRPr="00C00F2A">
              <w:rPr>
                <w:rStyle w:val="Hyperlink"/>
                <w:noProof/>
                <w:sz w:val="22"/>
                <w:szCs w:val="22"/>
              </w:rPr>
              <w:t>j</w:t>
            </w:r>
            <w:r w:rsidR="00130CB3" w:rsidRPr="00C00F2A">
              <w:rPr>
                <w:rStyle w:val="Hyperlink"/>
                <w:noProof/>
                <w:sz w:val="22"/>
                <w:szCs w:val="22"/>
              </w:rPr>
              <w:t>eri deinstitucionalizacije</w:t>
            </w:r>
            <w:r w:rsidR="00130CB3" w:rsidRPr="00C00F2A">
              <w:rPr>
                <w:noProof/>
                <w:webHidden/>
                <w:sz w:val="22"/>
                <w:szCs w:val="22"/>
              </w:rPr>
              <w:tab/>
            </w:r>
            <w:r w:rsidR="00130CB3" w:rsidRPr="00C00F2A">
              <w:rPr>
                <w:noProof/>
                <w:webHidden/>
                <w:sz w:val="22"/>
                <w:szCs w:val="22"/>
              </w:rPr>
              <w:fldChar w:fldCharType="begin"/>
            </w:r>
            <w:r w:rsidR="00130CB3" w:rsidRPr="00C00F2A">
              <w:rPr>
                <w:noProof/>
                <w:webHidden/>
                <w:sz w:val="22"/>
                <w:szCs w:val="22"/>
              </w:rPr>
              <w:instrText xml:space="preserve"> PAGEREF _Toc473540826 \h </w:instrText>
            </w:r>
            <w:r w:rsidR="00130CB3" w:rsidRPr="00C00F2A">
              <w:rPr>
                <w:noProof/>
                <w:webHidden/>
                <w:sz w:val="22"/>
                <w:szCs w:val="22"/>
              </w:rPr>
            </w:r>
            <w:r w:rsidR="00130CB3" w:rsidRPr="00C00F2A">
              <w:rPr>
                <w:noProof/>
                <w:webHidden/>
                <w:sz w:val="22"/>
                <w:szCs w:val="22"/>
              </w:rPr>
              <w:fldChar w:fldCharType="separate"/>
            </w:r>
            <w:r w:rsidR="00130CB3" w:rsidRPr="00C00F2A">
              <w:rPr>
                <w:noProof/>
                <w:webHidden/>
                <w:sz w:val="22"/>
                <w:szCs w:val="22"/>
              </w:rPr>
              <w:t>2</w:t>
            </w:r>
            <w:r w:rsidR="00443A1F">
              <w:rPr>
                <w:noProof/>
                <w:webHidden/>
                <w:sz w:val="22"/>
                <w:szCs w:val="22"/>
              </w:rPr>
              <w:t>4</w:t>
            </w:r>
            <w:r w:rsidR="00130CB3" w:rsidRPr="00C00F2A">
              <w:rPr>
                <w:noProof/>
                <w:webHidden/>
                <w:sz w:val="22"/>
                <w:szCs w:val="22"/>
              </w:rPr>
              <w:fldChar w:fldCharType="end"/>
            </w:r>
          </w:hyperlink>
        </w:p>
        <w:p w:rsidR="00130CB3" w:rsidRPr="00C00F2A" w:rsidRDefault="008932E1" w:rsidP="003A019C">
          <w:pPr>
            <w:pStyle w:val="TOC2"/>
            <w:tabs>
              <w:tab w:val="right" w:leader="dot" w:pos="9350"/>
            </w:tabs>
            <w:spacing w:line="240" w:lineRule="auto"/>
            <w:rPr>
              <w:noProof/>
              <w:sz w:val="22"/>
              <w:szCs w:val="22"/>
              <w:lang w:eastAsia="uz-Cyrl-UZ"/>
            </w:rPr>
          </w:pPr>
          <w:hyperlink w:anchor="_Toc473540827" w:history="1">
            <w:r w:rsidR="00130CB3" w:rsidRPr="00C00F2A">
              <w:rPr>
                <w:rStyle w:val="Hyperlink"/>
                <w:noProof/>
                <w:sz w:val="22"/>
                <w:szCs w:val="22"/>
              </w:rPr>
              <w:t>Prikaz stanja u Crnoj Gori</w:t>
            </w:r>
            <w:r w:rsidR="00130CB3" w:rsidRPr="00C00F2A">
              <w:rPr>
                <w:noProof/>
                <w:webHidden/>
                <w:sz w:val="22"/>
                <w:szCs w:val="22"/>
              </w:rPr>
              <w:tab/>
            </w:r>
            <w:r w:rsidR="00130CB3" w:rsidRPr="00C00F2A">
              <w:rPr>
                <w:noProof/>
                <w:webHidden/>
                <w:sz w:val="22"/>
                <w:szCs w:val="22"/>
              </w:rPr>
              <w:fldChar w:fldCharType="begin"/>
            </w:r>
            <w:r w:rsidR="00130CB3" w:rsidRPr="00C00F2A">
              <w:rPr>
                <w:noProof/>
                <w:webHidden/>
                <w:sz w:val="22"/>
                <w:szCs w:val="22"/>
              </w:rPr>
              <w:instrText xml:space="preserve"> PAGEREF _Toc473540827 \h </w:instrText>
            </w:r>
            <w:r w:rsidR="00130CB3" w:rsidRPr="00C00F2A">
              <w:rPr>
                <w:noProof/>
                <w:webHidden/>
                <w:sz w:val="22"/>
                <w:szCs w:val="22"/>
              </w:rPr>
            </w:r>
            <w:r w:rsidR="00130CB3" w:rsidRPr="00C00F2A">
              <w:rPr>
                <w:noProof/>
                <w:webHidden/>
                <w:sz w:val="22"/>
                <w:szCs w:val="22"/>
              </w:rPr>
              <w:fldChar w:fldCharType="separate"/>
            </w:r>
            <w:r w:rsidR="00130CB3" w:rsidRPr="00C00F2A">
              <w:rPr>
                <w:noProof/>
                <w:webHidden/>
                <w:sz w:val="22"/>
                <w:szCs w:val="22"/>
              </w:rPr>
              <w:t>3</w:t>
            </w:r>
            <w:r w:rsidR="00443A1F">
              <w:rPr>
                <w:noProof/>
                <w:webHidden/>
                <w:sz w:val="22"/>
                <w:szCs w:val="22"/>
              </w:rPr>
              <w:t>2</w:t>
            </w:r>
            <w:r w:rsidR="00130CB3" w:rsidRPr="00C00F2A">
              <w:rPr>
                <w:noProof/>
                <w:webHidden/>
                <w:sz w:val="22"/>
                <w:szCs w:val="22"/>
              </w:rPr>
              <w:fldChar w:fldCharType="end"/>
            </w:r>
          </w:hyperlink>
        </w:p>
        <w:p w:rsidR="00130CB3" w:rsidRPr="00C00F2A" w:rsidRDefault="008932E1" w:rsidP="003A019C">
          <w:pPr>
            <w:pStyle w:val="TOC2"/>
            <w:tabs>
              <w:tab w:val="right" w:leader="dot" w:pos="9350"/>
            </w:tabs>
            <w:spacing w:line="240" w:lineRule="auto"/>
            <w:rPr>
              <w:noProof/>
              <w:sz w:val="22"/>
              <w:szCs w:val="22"/>
              <w:lang w:eastAsia="uz-Cyrl-UZ"/>
            </w:rPr>
          </w:pPr>
          <w:hyperlink w:anchor="_Toc473540828" w:history="1">
            <w:r w:rsidR="00130CB3" w:rsidRPr="00C00F2A">
              <w:rPr>
                <w:rStyle w:val="Hyperlink"/>
                <w:noProof/>
                <w:sz w:val="22"/>
                <w:szCs w:val="22"/>
              </w:rPr>
              <w:t>Zaključci i preporuke</w:t>
            </w:r>
            <w:r w:rsidR="00130CB3" w:rsidRPr="00C00F2A">
              <w:rPr>
                <w:noProof/>
                <w:webHidden/>
                <w:sz w:val="22"/>
                <w:szCs w:val="22"/>
              </w:rPr>
              <w:tab/>
            </w:r>
            <w:r w:rsidR="00130CB3" w:rsidRPr="00C00F2A">
              <w:rPr>
                <w:noProof/>
                <w:webHidden/>
                <w:sz w:val="22"/>
                <w:szCs w:val="22"/>
              </w:rPr>
              <w:fldChar w:fldCharType="begin"/>
            </w:r>
            <w:r w:rsidR="00130CB3" w:rsidRPr="00C00F2A">
              <w:rPr>
                <w:noProof/>
                <w:webHidden/>
                <w:sz w:val="22"/>
                <w:szCs w:val="22"/>
              </w:rPr>
              <w:instrText xml:space="preserve"> PAGEREF _Toc473540828 \h </w:instrText>
            </w:r>
            <w:r w:rsidR="00130CB3" w:rsidRPr="00C00F2A">
              <w:rPr>
                <w:noProof/>
                <w:webHidden/>
                <w:sz w:val="22"/>
                <w:szCs w:val="22"/>
              </w:rPr>
            </w:r>
            <w:r w:rsidR="00130CB3" w:rsidRPr="00C00F2A">
              <w:rPr>
                <w:noProof/>
                <w:webHidden/>
                <w:sz w:val="22"/>
                <w:szCs w:val="22"/>
              </w:rPr>
              <w:fldChar w:fldCharType="separate"/>
            </w:r>
            <w:r w:rsidR="00130CB3" w:rsidRPr="00C00F2A">
              <w:rPr>
                <w:noProof/>
                <w:webHidden/>
                <w:sz w:val="22"/>
                <w:szCs w:val="22"/>
              </w:rPr>
              <w:t>3</w:t>
            </w:r>
            <w:r w:rsidR="00443A1F">
              <w:rPr>
                <w:noProof/>
                <w:webHidden/>
                <w:sz w:val="22"/>
                <w:szCs w:val="22"/>
              </w:rPr>
              <w:t>6</w:t>
            </w:r>
            <w:r w:rsidR="00130CB3" w:rsidRPr="00C00F2A">
              <w:rPr>
                <w:noProof/>
                <w:webHidden/>
                <w:sz w:val="22"/>
                <w:szCs w:val="22"/>
              </w:rPr>
              <w:fldChar w:fldCharType="end"/>
            </w:r>
          </w:hyperlink>
        </w:p>
        <w:p w:rsidR="00130CB3" w:rsidRPr="00C00F2A" w:rsidRDefault="008932E1" w:rsidP="003A019C">
          <w:pPr>
            <w:pStyle w:val="TOC2"/>
            <w:tabs>
              <w:tab w:val="right" w:leader="dot" w:pos="9350"/>
            </w:tabs>
            <w:spacing w:line="240" w:lineRule="auto"/>
            <w:rPr>
              <w:noProof/>
              <w:sz w:val="22"/>
              <w:szCs w:val="22"/>
              <w:lang w:eastAsia="uz-Cyrl-UZ"/>
            </w:rPr>
          </w:pPr>
          <w:hyperlink w:anchor="_Toc473540829" w:history="1">
            <w:r w:rsidR="00130CB3" w:rsidRPr="00C00F2A">
              <w:rPr>
                <w:rStyle w:val="Hyperlink"/>
                <w:iCs/>
                <w:noProof/>
                <w:sz w:val="22"/>
                <w:szCs w:val="22"/>
              </w:rPr>
              <w:t>Literatura</w:t>
            </w:r>
            <w:r w:rsidR="00130CB3" w:rsidRPr="00C00F2A">
              <w:rPr>
                <w:noProof/>
                <w:webHidden/>
                <w:sz w:val="22"/>
                <w:szCs w:val="22"/>
              </w:rPr>
              <w:tab/>
            </w:r>
            <w:r w:rsidR="00130CB3" w:rsidRPr="00C00F2A">
              <w:rPr>
                <w:noProof/>
                <w:webHidden/>
                <w:sz w:val="22"/>
                <w:szCs w:val="22"/>
              </w:rPr>
              <w:fldChar w:fldCharType="begin"/>
            </w:r>
            <w:r w:rsidR="00130CB3" w:rsidRPr="00C00F2A">
              <w:rPr>
                <w:noProof/>
                <w:webHidden/>
                <w:sz w:val="22"/>
                <w:szCs w:val="22"/>
              </w:rPr>
              <w:instrText xml:space="preserve"> PAGEREF _Toc473540829 \h </w:instrText>
            </w:r>
            <w:r w:rsidR="00130CB3" w:rsidRPr="00C00F2A">
              <w:rPr>
                <w:noProof/>
                <w:webHidden/>
                <w:sz w:val="22"/>
                <w:szCs w:val="22"/>
              </w:rPr>
            </w:r>
            <w:r w:rsidR="00130CB3" w:rsidRPr="00C00F2A">
              <w:rPr>
                <w:noProof/>
                <w:webHidden/>
                <w:sz w:val="22"/>
                <w:szCs w:val="22"/>
              </w:rPr>
              <w:fldChar w:fldCharType="separate"/>
            </w:r>
            <w:r w:rsidR="00130CB3" w:rsidRPr="00C00F2A">
              <w:rPr>
                <w:noProof/>
                <w:webHidden/>
                <w:sz w:val="22"/>
                <w:szCs w:val="22"/>
              </w:rPr>
              <w:t>4</w:t>
            </w:r>
            <w:r w:rsidR="00443A1F">
              <w:rPr>
                <w:noProof/>
                <w:webHidden/>
                <w:sz w:val="22"/>
                <w:szCs w:val="22"/>
              </w:rPr>
              <w:t>1</w:t>
            </w:r>
            <w:r w:rsidR="00130CB3" w:rsidRPr="00C00F2A">
              <w:rPr>
                <w:noProof/>
                <w:webHidden/>
                <w:sz w:val="22"/>
                <w:szCs w:val="22"/>
              </w:rPr>
              <w:fldChar w:fldCharType="end"/>
            </w:r>
          </w:hyperlink>
        </w:p>
        <w:p w:rsidR="00313741" w:rsidRPr="00C00F2A" w:rsidRDefault="00313741" w:rsidP="003A019C">
          <w:pPr>
            <w:spacing w:line="240" w:lineRule="auto"/>
            <w:rPr>
              <w:sz w:val="22"/>
              <w:szCs w:val="22"/>
            </w:rPr>
          </w:pPr>
          <w:r w:rsidRPr="00C00F2A">
            <w:rPr>
              <w:b/>
              <w:bCs/>
              <w:noProof/>
              <w:sz w:val="22"/>
              <w:szCs w:val="22"/>
            </w:rPr>
            <w:fldChar w:fldCharType="end"/>
          </w:r>
        </w:p>
      </w:sdtContent>
    </w:sdt>
    <w:p w:rsidR="008566A1" w:rsidRDefault="008566A1" w:rsidP="00ED0173">
      <w:pPr>
        <w:jc w:val="both"/>
        <w:rPr>
          <w:sz w:val="22"/>
          <w:szCs w:val="22"/>
        </w:rPr>
      </w:pPr>
    </w:p>
    <w:p w:rsidR="00C00F2A" w:rsidRDefault="00C00F2A" w:rsidP="00ED0173">
      <w:pPr>
        <w:jc w:val="both"/>
        <w:rPr>
          <w:sz w:val="22"/>
          <w:szCs w:val="22"/>
        </w:rPr>
      </w:pPr>
    </w:p>
    <w:p w:rsidR="00C00F2A" w:rsidRDefault="00C00F2A" w:rsidP="00ED0173">
      <w:pPr>
        <w:jc w:val="both"/>
        <w:rPr>
          <w:sz w:val="22"/>
          <w:szCs w:val="22"/>
        </w:rPr>
      </w:pPr>
    </w:p>
    <w:p w:rsidR="00C00F2A" w:rsidRDefault="00C00F2A" w:rsidP="00ED0173">
      <w:pPr>
        <w:jc w:val="both"/>
        <w:rPr>
          <w:sz w:val="22"/>
          <w:szCs w:val="22"/>
        </w:rPr>
      </w:pPr>
    </w:p>
    <w:p w:rsidR="008566A1" w:rsidRPr="00C00F2A" w:rsidRDefault="008566A1" w:rsidP="008566A1">
      <w:pPr>
        <w:pStyle w:val="Heading2"/>
      </w:pPr>
      <w:bookmarkStart w:id="1" w:name="_Toc473540809"/>
      <w:r w:rsidRPr="00C00F2A">
        <w:lastRenderedPageBreak/>
        <w:t>Svrha i opis dokumenta</w:t>
      </w:r>
      <w:bookmarkEnd w:id="1"/>
    </w:p>
    <w:p w:rsidR="008566A1" w:rsidRPr="00C00F2A" w:rsidRDefault="008566A1" w:rsidP="00ED0173">
      <w:pPr>
        <w:jc w:val="both"/>
        <w:rPr>
          <w:sz w:val="22"/>
          <w:szCs w:val="22"/>
        </w:rPr>
      </w:pPr>
    </w:p>
    <w:p w:rsidR="00D55329" w:rsidRPr="00C00F2A" w:rsidRDefault="00E74950" w:rsidP="00ED0173">
      <w:pPr>
        <w:jc w:val="both"/>
        <w:rPr>
          <w:sz w:val="22"/>
          <w:szCs w:val="22"/>
        </w:rPr>
      </w:pPr>
      <w:r w:rsidRPr="00C00F2A">
        <w:rPr>
          <w:sz w:val="22"/>
          <w:szCs w:val="22"/>
        </w:rPr>
        <w:t xml:space="preserve">Ovaj dokument nastao je u okviru projekta „Van izolacije – ostvarivanje prava pacijenata sa mentalnim oboljenjima“ koji sprovode Akcija za ljudska prava (HRA), Centar za žensko i mirovno obrazovanje – ANIMA i Mental Disability Advocacy Center – MDAC, uz podršku Evropske </w:t>
      </w:r>
      <w:r w:rsidR="00C00F2A" w:rsidRPr="00C00F2A">
        <w:rPr>
          <w:sz w:val="22"/>
          <w:szCs w:val="22"/>
        </w:rPr>
        <w:t>unije.</w:t>
      </w:r>
      <w:r w:rsidRPr="00C00F2A">
        <w:rPr>
          <w:sz w:val="22"/>
          <w:szCs w:val="22"/>
        </w:rPr>
        <w:t xml:space="preserve"> Projekat odgovara na snažnu potrebu da se poboljša stanje ljudskih prava pacijenata sa mentalnim oboljenjima, sa opštim ciljem da se poveća kapacitet organizacija civilnog društva (OCD) da podrže poštovanje ljudskih prava</w:t>
      </w:r>
      <w:r w:rsidR="00F2018F" w:rsidRPr="00C00F2A">
        <w:rPr>
          <w:sz w:val="22"/>
          <w:szCs w:val="22"/>
        </w:rPr>
        <w:t xml:space="preserve"> ovih osoba</w:t>
      </w:r>
      <w:r w:rsidRPr="00C00F2A">
        <w:rPr>
          <w:sz w:val="22"/>
          <w:szCs w:val="22"/>
        </w:rPr>
        <w:t>.</w:t>
      </w:r>
    </w:p>
    <w:p w:rsidR="003046E8" w:rsidRPr="00C00F2A" w:rsidRDefault="00E74950" w:rsidP="00ED0173">
      <w:pPr>
        <w:jc w:val="both"/>
        <w:rPr>
          <w:sz w:val="22"/>
          <w:szCs w:val="22"/>
        </w:rPr>
      </w:pPr>
      <w:r w:rsidRPr="00C00F2A">
        <w:rPr>
          <w:sz w:val="22"/>
          <w:szCs w:val="22"/>
        </w:rPr>
        <w:t>Iako je</w:t>
      </w:r>
      <w:r w:rsidR="009C6683" w:rsidRPr="00C00F2A">
        <w:rPr>
          <w:sz w:val="22"/>
          <w:szCs w:val="22"/>
        </w:rPr>
        <w:t xml:space="preserve"> u Crnoj Gori</w:t>
      </w:r>
      <w:r w:rsidRPr="00C00F2A">
        <w:rPr>
          <w:sz w:val="22"/>
          <w:szCs w:val="22"/>
        </w:rPr>
        <w:t xml:space="preserve"> deinstitucionalizacija pacijenata kojima nije potreban dalji ostanak u psihijatrijskoj bolnici promovisana kao budući pravac i rezultat reforme mentalnog zdravlja,</w:t>
      </w:r>
      <w:r w:rsidR="006E3C4E" w:rsidRPr="00C00F2A">
        <w:rPr>
          <w:rStyle w:val="FootnoteReference"/>
          <w:sz w:val="22"/>
          <w:szCs w:val="22"/>
        </w:rPr>
        <w:footnoteReference w:id="1"/>
      </w:r>
      <w:r w:rsidRPr="00C00F2A">
        <w:rPr>
          <w:sz w:val="22"/>
          <w:szCs w:val="22"/>
        </w:rPr>
        <w:t xml:space="preserve"> nadležne institucije i dalje tragaju za najboljim modelom koji bi zadovoljio lokalne uslove i potrebe. Analiza koja je pred vama sadrži prikaz različitih modela deinstitucionalizacije i prim</w:t>
      </w:r>
      <w:r w:rsidR="001116AE" w:rsidRPr="00C00F2A">
        <w:rPr>
          <w:sz w:val="22"/>
          <w:szCs w:val="22"/>
        </w:rPr>
        <w:t>j</w:t>
      </w:r>
      <w:r w:rsidRPr="00C00F2A">
        <w:rPr>
          <w:sz w:val="22"/>
          <w:szCs w:val="22"/>
        </w:rPr>
        <w:t>era dobr</w:t>
      </w:r>
      <w:r w:rsidR="00927210" w:rsidRPr="00C00F2A">
        <w:rPr>
          <w:sz w:val="22"/>
          <w:szCs w:val="22"/>
        </w:rPr>
        <w:t>e prakse, kao i listu preporuka prilagođenih</w:t>
      </w:r>
      <w:r w:rsidRPr="00C00F2A">
        <w:rPr>
          <w:sz w:val="22"/>
          <w:szCs w:val="22"/>
        </w:rPr>
        <w:t xml:space="preserve"> lokalnom kontekstu. </w:t>
      </w:r>
      <w:r w:rsidR="00C73B08" w:rsidRPr="00C00F2A">
        <w:rPr>
          <w:sz w:val="22"/>
          <w:szCs w:val="22"/>
        </w:rPr>
        <w:t>Ona treba da posluži kao polazna osnova za debatu među ključnim akterima</w:t>
      </w:r>
      <w:r w:rsidR="002E2C82" w:rsidRPr="00C00F2A">
        <w:rPr>
          <w:sz w:val="22"/>
          <w:szCs w:val="22"/>
        </w:rPr>
        <w:t>,</w:t>
      </w:r>
      <w:r w:rsidR="00C73B08" w:rsidRPr="00C00F2A">
        <w:rPr>
          <w:sz w:val="22"/>
          <w:szCs w:val="22"/>
        </w:rPr>
        <w:t xml:space="preserve"> kako bi se identifikovala najadekvatnija r</w:t>
      </w:r>
      <w:r w:rsidR="002E2C82" w:rsidRPr="00C00F2A">
        <w:rPr>
          <w:sz w:val="22"/>
          <w:szCs w:val="22"/>
        </w:rPr>
        <w:t>j</w:t>
      </w:r>
      <w:r w:rsidR="00C73B08" w:rsidRPr="00C00F2A">
        <w:rPr>
          <w:sz w:val="22"/>
          <w:szCs w:val="22"/>
        </w:rPr>
        <w:t>ešenja i postigao konsenzus oko budućeg pravca reformi.</w:t>
      </w:r>
      <w:r w:rsidR="006655ED" w:rsidRPr="00C00F2A">
        <w:rPr>
          <w:sz w:val="22"/>
          <w:szCs w:val="22"/>
        </w:rPr>
        <w:t xml:space="preserve"> </w:t>
      </w:r>
    </w:p>
    <w:p w:rsidR="003B090A" w:rsidRPr="00C00F2A" w:rsidRDefault="00224671" w:rsidP="00ED0173">
      <w:pPr>
        <w:jc w:val="both"/>
        <w:rPr>
          <w:sz w:val="22"/>
          <w:szCs w:val="22"/>
        </w:rPr>
      </w:pPr>
      <w:r w:rsidRPr="00C00F2A">
        <w:rPr>
          <w:sz w:val="22"/>
          <w:szCs w:val="22"/>
        </w:rPr>
        <w:t>S obzirom da je dokument nam</w:t>
      </w:r>
      <w:r w:rsidR="002E2C82" w:rsidRPr="00C00F2A">
        <w:rPr>
          <w:sz w:val="22"/>
          <w:szCs w:val="22"/>
        </w:rPr>
        <w:t>ij</w:t>
      </w:r>
      <w:r w:rsidRPr="00C00F2A">
        <w:rPr>
          <w:sz w:val="22"/>
          <w:szCs w:val="22"/>
        </w:rPr>
        <w:t>enjen</w:t>
      </w:r>
      <w:r w:rsidR="00D63F90" w:rsidRPr="00C00F2A">
        <w:rPr>
          <w:sz w:val="22"/>
          <w:szCs w:val="22"/>
        </w:rPr>
        <w:t xml:space="preserve"> širokom auditorijumu, službenicima različitih resora i stručnjacima različitih profila</w:t>
      </w:r>
      <w:r w:rsidR="00910EC9" w:rsidRPr="00C00F2A">
        <w:rPr>
          <w:sz w:val="22"/>
          <w:szCs w:val="22"/>
        </w:rPr>
        <w:t>,</w:t>
      </w:r>
      <w:r w:rsidR="00D63F90" w:rsidRPr="00C00F2A">
        <w:rPr>
          <w:sz w:val="22"/>
          <w:szCs w:val="22"/>
        </w:rPr>
        <w:t xml:space="preserve"> n</w:t>
      </w:r>
      <w:r w:rsidRPr="00C00F2A">
        <w:rPr>
          <w:sz w:val="22"/>
          <w:szCs w:val="22"/>
        </w:rPr>
        <w:t>a početku dokumenta data su pojašnjenja osnovnih pojmova</w:t>
      </w:r>
      <w:r w:rsidR="002E2C82" w:rsidRPr="00C00F2A">
        <w:rPr>
          <w:sz w:val="22"/>
          <w:szCs w:val="22"/>
        </w:rPr>
        <w:t>,</w:t>
      </w:r>
      <w:r w:rsidRPr="00C00F2A">
        <w:rPr>
          <w:sz w:val="22"/>
          <w:szCs w:val="22"/>
        </w:rPr>
        <w:t xml:space="preserve"> k</w:t>
      </w:r>
      <w:r w:rsidR="005133E9" w:rsidRPr="00C00F2A">
        <w:rPr>
          <w:sz w:val="22"/>
          <w:szCs w:val="22"/>
        </w:rPr>
        <w:t>ako bi se osiguralo jedinstveno razum</w:t>
      </w:r>
      <w:r w:rsidR="002E2C82" w:rsidRPr="00C00F2A">
        <w:rPr>
          <w:sz w:val="22"/>
          <w:szCs w:val="22"/>
        </w:rPr>
        <w:t>ij</w:t>
      </w:r>
      <w:r w:rsidR="005133E9" w:rsidRPr="00C00F2A">
        <w:rPr>
          <w:sz w:val="22"/>
          <w:szCs w:val="22"/>
        </w:rPr>
        <w:t xml:space="preserve">evanje </w:t>
      </w:r>
      <w:r w:rsidRPr="00C00F2A">
        <w:rPr>
          <w:sz w:val="22"/>
          <w:szCs w:val="22"/>
        </w:rPr>
        <w:t xml:space="preserve">njegovog </w:t>
      </w:r>
      <w:r w:rsidR="005133E9" w:rsidRPr="00C00F2A">
        <w:rPr>
          <w:sz w:val="22"/>
          <w:szCs w:val="22"/>
        </w:rPr>
        <w:t>sadržaja</w:t>
      </w:r>
      <w:r w:rsidR="003046E8" w:rsidRPr="00C00F2A">
        <w:rPr>
          <w:sz w:val="22"/>
          <w:szCs w:val="22"/>
        </w:rPr>
        <w:t xml:space="preserve">. </w:t>
      </w:r>
    </w:p>
    <w:p w:rsidR="00697F3D" w:rsidRPr="00C00F2A" w:rsidRDefault="00A31674" w:rsidP="00ED0173">
      <w:pPr>
        <w:jc w:val="both"/>
        <w:rPr>
          <w:sz w:val="22"/>
          <w:szCs w:val="22"/>
        </w:rPr>
      </w:pPr>
      <w:r w:rsidRPr="00C00F2A">
        <w:rPr>
          <w:sz w:val="22"/>
          <w:szCs w:val="22"/>
        </w:rPr>
        <w:t xml:space="preserve">U </w:t>
      </w:r>
      <w:r w:rsidR="001215A3" w:rsidRPr="00C00F2A">
        <w:rPr>
          <w:sz w:val="22"/>
          <w:szCs w:val="22"/>
        </w:rPr>
        <w:t>drugom</w:t>
      </w:r>
      <w:r w:rsidRPr="00C00F2A">
        <w:rPr>
          <w:sz w:val="22"/>
          <w:szCs w:val="22"/>
        </w:rPr>
        <w:t xml:space="preserve"> d</w:t>
      </w:r>
      <w:r w:rsidR="002E2C82" w:rsidRPr="00C00F2A">
        <w:rPr>
          <w:sz w:val="22"/>
          <w:szCs w:val="22"/>
        </w:rPr>
        <w:t>ij</w:t>
      </w:r>
      <w:r w:rsidRPr="00C00F2A">
        <w:rPr>
          <w:sz w:val="22"/>
          <w:szCs w:val="22"/>
        </w:rPr>
        <w:t xml:space="preserve">elu prikazan je </w:t>
      </w:r>
      <w:r w:rsidR="003B090A" w:rsidRPr="00C00F2A">
        <w:rPr>
          <w:sz w:val="22"/>
          <w:szCs w:val="22"/>
        </w:rPr>
        <w:t>kontekst u kome je došlo do pom</w:t>
      </w:r>
      <w:r w:rsidR="002E2C82" w:rsidRPr="00C00F2A">
        <w:rPr>
          <w:sz w:val="22"/>
          <w:szCs w:val="22"/>
        </w:rPr>
        <w:t>j</w:t>
      </w:r>
      <w:r w:rsidR="003B090A" w:rsidRPr="00C00F2A">
        <w:rPr>
          <w:sz w:val="22"/>
          <w:szCs w:val="22"/>
        </w:rPr>
        <w:t>eranja</w:t>
      </w:r>
      <w:r w:rsidRPr="00C00F2A">
        <w:rPr>
          <w:sz w:val="22"/>
          <w:szCs w:val="22"/>
        </w:rPr>
        <w:t xml:space="preserve"> fokusa sa institucional</w:t>
      </w:r>
      <w:r w:rsidR="00D1091A" w:rsidRPr="00C00F2A">
        <w:rPr>
          <w:sz w:val="22"/>
          <w:szCs w:val="22"/>
        </w:rPr>
        <w:t>n</w:t>
      </w:r>
      <w:r w:rsidRPr="00C00F2A">
        <w:rPr>
          <w:sz w:val="22"/>
          <w:szCs w:val="22"/>
        </w:rPr>
        <w:t xml:space="preserve">og </w:t>
      </w:r>
      <w:r w:rsidR="007356C5" w:rsidRPr="00C00F2A">
        <w:rPr>
          <w:sz w:val="22"/>
          <w:szCs w:val="22"/>
        </w:rPr>
        <w:t>l</w:t>
      </w:r>
      <w:r w:rsidR="002E2C82" w:rsidRPr="00C00F2A">
        <w:rPr>
          <w:sz w:val="22"/>
          <w:szCs w:val="22"/>
        </w:rPr>
        <w:t>ij</w:t>
      </w:r>
      <w:r w:rsidR="007356C5" w:rsidRPr="00C00F2A">
        <w:rPr>
          <w:sz w:val="22"/>
          <w:szCs w:val="22"/>
        </w:rPr>
        <w:t>ečenja i zbrinjavanja na l</w:t>
      </w:r>
      <w:r w:rsidR="002E2C82" w:rsidRPr="00C00F2A">
        <w:rPr>
          <w:sz w:val="22"/>
          <w:szCs w:val="22"/>
        </w:rPr>
        <w:t>ij</w:t>
      </w:r>
      <w:r w:rsidR="007356C5" w:rsidRPr="00C00F2A">
        <w:rPr>
          <w:sz w:val="22"/>
          <w:szCs w:val="22"/>
        </w:rPr>
        <w:t>ečenje</w:t>
      </w:r>
      <w:r w:rsidRPr="00C00F2A">
        <w:rPr>
          <w:sz w:val="22"/>
          <w:szCs w:val="22"/>
        </w:rPr>
        <w:t xml:space="preserve"> i podršku u zajednici. </w:t>
      </w:r>
      <w:r w:rsidR="003046E8" w:rsidRPr="00C00F2A">
        <w:rPr>
          <w:sz w:val="22"/>
          <w:szCs w:val="22"/>
        </w:rPr>
        <w:t>Značaj procesa deinstitucionalizacije sagledan je kroz štetne efekte koje</w:t>
      </w:r>
      <w:r w:rsidR="007356C5" w:rsidRPr="00C00F2A">
        <w:rPr>
          <w:sz w:val="22"/>
          <w:szCs w:val="22"/>
        </w:rPr>
        <w:t xml:space="preserve"> praksa institucionalizacije</w:t>
      </w:r>
      <w:r w:rsidR="003046E8" w:rsidRPr="00C00F2A">
        <w:rPr>
          <w:sz w:val="22"/>
          <w:szCs w:val="22"/>
        </w:rPr>
        <w:t xml:space="preserve"> ima</w:t>
      </w:r>
      <w:r w:rsidR="00ED3545" w:rsidRPr="00C00F2A">
        <w:rPr>
          <w:sz w:val="22"/>
          <w:szCs w:val="22"/>
        </w:rPr>
        <w:t xml:space="preserve"> po život i zdravlje pojedinca uz prikaz međunarodnih standarda zaštite l</w:t>
      </w:r>
      <w:r w:rsidR="004F3B22" w:rsidRPr="00C00F2A">
        <w:rPr>
          <w:sz w:val="22"/>
          <w:szCs w:val="22"/>
        </w:rPr>
        <w:t>judskih prava osoba sa mentalnim</w:t>
      </w:r>
      <w:r w:rsidR="00ED3545" w:rsidRPr="00C00F2A">
        <w:rPr>
          <w:sz w:val="22"/>
          <w:szCs w:val="22"/>
        </w:rPr>
        <w:t xml:space="preserve"> smetnjama.</w:t>
      </w:r>
    </w:p>
    <w:p w:rsidR="00697F3D" w:rsidRPr="00C00F2A" w:rsidRDefault="00697F3D" w:rsidP="00ED0173">
      <w:pPr>
        <w:jc w:val="both"/>
        <w:rPr>
          <w:sz w:val="22"/>
          <w:szCs w:val="22"/>
        </w:rPr>
      </w:pPr>
      <w:r w:rsidRPr="00C00F2A">
        <w:rPr>
          <w:sz w:val="22"/>
          <w:szCs w:val="22"/>
        </w:rPr>
        <w:t>M</w:t>
      </w:r>
      <w:r w:rsidR="008276D2" w:rsidRPr="00C00F2A">
        <w:rPr>
          <w:sz w:val="22"/>
          <w:szCs w:val="22"/>
        </w:rPr>
        <w:t>odel</w:t>
      </w:r>
      <w:r w:rsidRPr="00C00F2A">
        <w:rPr>
          <w:sz w:val="22"/>
          <w:szCs w:val="22"/>
        </w:rPr>
        <w:t>i deinstitucionalizacije</w:t>
      </w:r>
      <w:r w:rsidR="008276D2" w:rsidRPr="00C00F2A">
        <w:rPr>
          <w:sz w:val="22"/>
          <w:szCs w:val="22"/>
        </w:rPr>
        <w:t xml:space="preserve"> i prim</w:t>
      </w:r>
      <w:r w:rsidR="002E2C82" w:rsidRPr="00C00F2A">
        <w:rPr>
          <w:sz w:val="22"/>
          <w:szCs w:val="22"/>
        </w:rPr>
        <w:t>j</w:t>
      </w:r>
      <w:r w:rsidR="008276D2" w:rsidRPr="00C00F2A">
        <w:rPr>
          <w:sz w:val="22"/>
          <w:szCs w:val="22"/>
        </w:rPr>
        <w:t>er</w:t>
      </w:r>
      <w:r w:rsidRPr="00C00F2A">
        <w:rPr>
          <w:sz w:val="22"/>
          <w:szCs w:val="22"/>
        </w:rPr>
        <w:t>i</w:t>
      </w:r>
      <w:r w:rsidR="008276D2" w:rsidRPr="00C00F2A">
        <w:rPr>
          <w:sz w:val="22"/>
          <w:szCs w:val="22"/>
        </w:rPr>
        <w:t xml:space="preserve"> dobre prakse</w:t>
      </w:r>
      <w:r w:rsidR="002E2C82" w:rsidRPr="00C00F2A">
        <w:rPr>
          <w:sz w:val="22"/>
          <w:szCs w:val="22"/>
        </w:rPr>
        <w:t>,</w:t>
      </w:r>
      <w:r w:rsidR="008276D2" w:rsidRPr="00C00F2A">
        <w:rPr>
          <w:sz w:val="22"/>
          <w:szCs w:val="22"/>
        </w:rPr>
        <w:t xml:space="preserve"> u prelasku sa institucionalnog na l</w:t>
      </w:r>
      <w:r w:rsidR="002E2C82" w:rsidRPr="00C00F2A">
        <w:rPr>
          <w:sz w:val="22"/>
          <w:szCs w:val="22"/>
        </w:rPr>
        <w:t>ij</w:t>
      </w:r>
      <w:r w:rsidR="008276D2" w:rsidRPr="00C00F2A">
        <w:rPr>
          <w:sz w:val="22"/>
          <w:szCs w:val="22"/>
        </w:rPr>
        <w:t xml:space="preserve">ečenje i zaštitu </w:t>
      </w:r>
      <w:r w:rsidR="004F3B22" w:rsidRPr="00C00F2A">
        <w:rPr>
          <w:sz w:val="22"/>
          <w:szCs w:val="22"/>
        </w:rPr>
        <w:t>mentalnog zdravlja u zajednici</w:t>
      </w:r>
      <w:r w:rsidR="001215A3" w:rsidRPr="00C00F2A">
        <w:rPr>
          <w:sz w:val="22"/>
          <w:szCs w:val="22"/>
        </w:rPr>
        <w:t xml:space="preserve"> čine sl</w:t>
      </w:r>
      <w:r w:rsidR="002E2C82" w:rsidRPr="00C00F2A">
        <w:rPr>
          <w:sz w:val="22"/>
          <w:szCs w:val="22"/>
        </w:rPr>
        <w:t>j</w:t>
      </w:r>
      <w:r w:rsidR="001215A3" w:rsidRPr="00C00F2A">
        <w:rPr>
          <w:sz w:val="22"/>
          <w:szCs w:val="22"/>
        </w:rPr>
        <w:t>edeću c</w:t>
      </w:r>
      <w:r w:rsidR="002E2C82" w:rsidRPr="00C00F2A">
        <w:rPr>
          <w:sz w:val="22"/>
          <w:szCs w:val="22"/>
        </w:rPr>
        <w:t>j</w:t>
      </w:r>
      <w:r w:rsidR="001215A3" w:rsidRPr="00C00F2A">
        <w:rPr>
          <w:sz w:val="22"/>
          <w:szCs w:val="22"/>
        </w:rPr>
        <w:t>elinu. Predstavićemo prim</w:t>
      </w:r>
      <w:r w:rsidR="002E2C82" w:rsidRPr="00C00F2A">
        <w:rPr>
          <w:sz w:val="22"/>
          <w:szCs w:val="22"/>
        </w:rPr>
        <w:t>jere ze</w:t>
      </w:r>
      <w:r w:rsidR="001215A3" w:rsidRPr="00C00F2A">
        <w:rPr>
          <w:sz w:val="22"/>
          <w:szCs w:val="22"/>
        </w:rPr>
        <w:t>malja koje se smatraju pionirima deinstitucionalizacije, ali i onih koje su sa reformama započele nešto kasnije. I</w:t>
      </w:r>
      <w:r w:rsidR="00E84CC3" w:rsidRPr="00C00F2A">
        <w:rPr>
          <w:sz w:val="22"/>
          <w:szCs w:val="22"/>
        </w:rPr>
        <w:t xml:space="preserve">ako </w:t>
      </w:r>
      <w:r w:rsidR="001215A3" w:rsidRPr="00C00F2A">
        <w:rPr>
          <w:sz w:val="22"/>
          <w:szCs w:val="22"/>
        </w:rPr>
        <w:t>su novije reforme praćene</w:t>
      </w:r>
      <w:r w:rsidR="00E84CC3" w:rsidRPr="00C00F2A">
        <w:rPr>
          <w:sz w:val="22"/>
          <w:szCs w:val="22"/>
        </w:rPr>
        <w:t xml:space="preserve"> </w:t>
      </w:r>
      <w:r w:rsidR="002D4412" w:rsidRPr="00C00F2A">
        <w:rPr>
          <w:sz w:val="22"/>
          <w:szCs w:val="22"/>
        </w:rPr>
        <w:t>povoljn</w:t>
      </w:r>
      <w:r w:rsidR="001215A3" w:rsidRPr="00C00F2A">
        <w:rPr>
          <w:sz w:val="22"/>
          <w:szCs w:val="22"/>
        </w:rPr>
        <w:t>im</w:t>
      </w:r>
      <w:r w:rsidR="002D4412" w:rsidRPr="00C00F2A">
        <w:rPr>
          <w:sz w:val="22"/>
          <w:szCs w:val="22"/>
        </w:rPr>
        <w:t xml:space="preserve"> pravni</w:t>
      </w:r>
      <w:r w:rsidR="001215A3" w:rsidRPr="00C00F2A">
        <w:rPr>
          <w:sz w:val="22"/>
          <w:szCs w:val="22"/>
        </w:rPr>
        <w:t>m</w:t>
      </w:r>
      <w:r w:rsidR="002D4412" w:rsidRPr="00C00F2A">
        <w:rPr>
          <w:sz w:val="22"/>
          <w:szCs w:val="22"/>
        </w:rPr>
        <w:t xml:space="preserve"> okvir</w:t>
      </w:r>
      <w:r w:rsidR="001215A3" w:rsidRPr="00C00F2A">
        <w:rPr>
          <w:sz w:val="22"/>
          <w:szCs w:val="22"/>
        </w:rPr>
        <w:t>om</w:t>
      </w:r>
      <w:r w:rsidR="002D4412" w:rsidRPr="00C00F2A">
        <w:rPr>
          <w:sz w:val="22"/>
          <w:szCs w:val="22"/>
        </w:rPr>
        <w:t xml:space="preserve"> i </w:t>
      </w:r>
      <w:r w:rsidR="00E84CC3" w:rsidRPr="00C00F2A">
        <w:rPr>
          <w:sz w:val="22"/>
          <w:szCs w:val="22"/>
        </w:rPr>
        <w:t>načeln</w:t>
      </w:r>
      <w:r w:rsidR="001215A3" w:rsidRPr="00C00F2A">
        <w:rPr>
          <w:sz w:val="22"/>
          <w:szCs w:val="22"/>
        </w:rPr>
        <w:t xml:space="preserve">om posvećenošću </w:t>
      </w:r>
      <w:r w:rsidR="00E84CC3" w:rsidRPr="00C00F2A">
        <w:rPr>
          <w:sz w:val="22"/>
          <w:szCs w:val="22"/>
        </w:rPr>
        <w:t>procesu deinstitucionalizacije njime primarno rukovodi jedan resor</w:t>
      </w:r>
      <w:r w:rsidR="00477641" w:rsidRPr="00C00F2A">
        <w:rPr>
          <w:sz w:val="22"/>
          <w:szCs w:val="22"/>
        </w:rPr>
        <w:t xml:space="preserve"> (najčešće </w:t>
      </w:r>
      <w:r w:rsidR="002D4412" w:rsidRPr="00C00F2A">
        <w:rPr>
          <w:sz w:val="22"/>
          <w:szCs w:val="22"/>
        </w:rPr>
        <w:t xml:space="preserve">zdravstvo i/ili </w:t>
      </w:r>
      <w:r w:rsidR="00477641" w:rsidRPr="00C00F2A">
        <w:rPr>
          <w:sz w:val="22"/>
          <w:szCs w:val="22"/>
        </w:rPr>
        <w:t>s</w:t>
      </w:r>
      <w:r w:rsidR="002D4412" w:rsidRPr="00C00F2A">
        <w:rPr>
          <w:sz w:val="22"/>
          <w:szCs w:val="22"/>
        </w:rPr>
        <w:t>o</w:t>
      </w:r>
      <w:r w:rsidR="00477641" w:rsidRPr="00C00F2A">
        <w:rPr>
          <w:sz w:val="22"/>
          <w:szCs w:val="22"/>
        </w:rPr>
        <w:t>c</w:t>
      </w:r>
      <w:r w:rsidR="00090913" w:rsidRPr="00C00F2A">
        <w:rPr>
          <w:sz w:val="22"/>
          <w:szCs w:val="22"/>
        </w:rPr>
        <w:t>i</w:t>
      </w:r>
      <w:r w:rsidR="00477641" w:rsidRPr="00C00F2A">
        <w:rPr>
          <w:sz w:val="22"/>
          <w:szCs w:val="22"/>
        </w:rPr>
        <w:t>jalna zaštita)</w:t>
      </w:r>
      <w:r w:rsidR="00133AFD" w:rsidRPr="00C00F2A">
        <w:rPr>
          <w:sz w:val="22"/>
          <w:szCs w:val="22"/>
        </w:rPr>
        <w:t>,</w:t>
      </w:r>
      <w:r w:rsidR="00E84CC3" w:rsidRPr="00C00F2A">
        <w:rPr>
          <w:sz w:val="22"/>
          <w:szCs w:val="22"/>
        </w:rPr>
        <w:t xml:space="preserve"> uz malo ili nimalo uključivanja ostalih resora.</w:t>
      </w:r>
      <w:r w:rsidR="005816AF" w:rsidRPr="00C00F2A">
        <w:rPr>
          <w:sz w:val="22"/>
          <w:szCs w:val="22"/>
        </w:rPr>
        <w:t xml:space="preserve"> Stoga se prim</w:t>
      </w:r>
      <w:r w:rsidR="00E87F66" w:rsidRPr="00C00F2A">
        <w:rPr>
          <w:sz w:val="22"/>
          <w:szCs w:val="22"/>
        </w:rPr>
        <w:t>j</w:t>
      </w:r>
      <w:r w:rsidR="005816AF" w:rsidRPr="00C00F2A">
        <w:rPr>
          <w:sz w:val="22"/>
          <w:szCs w:val="22"/>
        </w:rPr>
        <w:t>eri dobre prakse</w:t>
      </w:r>
      <w:r w:rsidR="005C618C" w:rsidRPr="00C00F2A">
        <w:rPr>
          <w:sz w:val="22"/>
          <w:szCs w:val="22"/>
        </w:rPr>
        <w:t xml:space="preserve"> prevashodno</w:t>
      </w:r>
      <w:r w:rsidR="005816AF" w:rsidRPr="00C00F2A">
        <w:rPr>
          <w:sz w:val="22"/>
          <w:szCs w:val="22"/>
        </w:rPr>
        <w:t xml:space="preserve"> odnose na pilot projekte </w:t>
      </w:r>
      <w:r w:rsidR="005C618C" w:rsidRPr="00C00F2A">
        <w:rPr>
          <w:sz w:val="22"/>
          <w:szCs w:val="22"/>
        </w:rPr>
        <w:t>koj</w:t>
      </w:r>
      <w:r w:rsidR="00F2018F" w:rsidRPr="00C00F2A">
        <w:rPr>
          <w:sz w:val="22"/>
          <w:szCs w:val="22"/>
        </w:rPr>
        <w:t>i</w:t>
      </w:r>
      <w:r w:rsidR="005C618C" w:rsidRPr="00C00F2A">
        <w:rPr>
          <w:sz w:val="22"/>
          <w:szCs w:val="22"/>
        </w:rPr>
        <w:t xml:space="preserve"> nisu praćen</w:t>
      </w:r>
      <w:r w:rsidR="00F2018F" w:rsidRPr="00C00F2A">
        <w:rPr>
          <w:sz w:val="22"/>
          <w:szCs w:val="22"/>
        </w:rPr>
        <w:t>i sveobuhvatnim</w:t>
      </w:r>
      <w:r w:rsidR="005C618C" w:rsidRPr="00C00F2A">
        <w:rPr>
          <w:sz w:val="22"/>
          <w:szCs w:val="22"/>
        </w:rPr>
        <w:t xml:space="preserve"> sistemskim reformam</w:t>
      </w:r>
      <w:r w:rsidR="002D4412" w:rsidRPr="00C00F2A">
        <w:rPr>
          <w:sz w:val="22"/>
          <w:szCs w:val="22"/>
        </w:rPr>
        <w:t>a kojima</w:t>
      </w:r>
      <w:r w:rsidR="005C618C" w:rsidRPr="00C00F2A">
        <w:rPr>
          <w:sz w:val="22"/>
          <w:szCs w:val="22"/>
        </w:rPr>
        <w:t xml:space="preserve"> bi se obezb</w:t>
      </w:r>
      <w:r w:rsidR="00133AFD" w:rsidRPr="00C00F2A">
        <w:rPr>
          <w:sz w:val="22"/>
          <w:szCs w:val="22"/>
        </w:rPr>
        <w:t>ij</w:t>
      </w:r>
      <w:r w:rsidR="005C618C" w:rsidRPr="00C00F2A">
        <w:rPr>
          <w:sz w:val="22"/>
          <w:szCs w:val="22"/>
        </w:rPr>
        <w:t>edila njihova održivost.</w:t>
      </w:r>
    </w:p>
    <w:p w:rsidR="008276D2" w:rsidRPr="00C00F2A" w:rsidRDefault="0052795B" w:rsidP="00ED0173">
      <w:pPr>
        <w:jc w:val="both"/>
        <w:rPr>
          <w:sz w:val="22"/>
          <w:szCs w:val="22"/>
        </w:rPr>
      </w:pPr>
      <w:r w:rsidRPr="00C00F2A">
        <w:rPr>
          <w:sz w:val="22"/>
          <w:szCs w:val="22"/>
        </w:rPr>
        <w:t xml:space="preserve">Na kraju, dat je </w:t>
      </w:r>
      <w:r w:rsidR="008276D2" w:rsidRPr="00C00F2A">
        <w:rPr>
          <w:sz w:val="22"/>
          <w:szCs w:val="22"/>
        </w:rPr>
        <w:t>pregled trenutne situacije u Crnoj Gori i preporuke kako se u</w:t>
      </w:r>
      <w:r w:rsidRPr="00C00F2A">
        <w:rPr>
          <w:sz w:val="22"/>
          <w:szCs w:val="22"/>
        </w:rPr>
        <w:t xml:space="preserve"> lokalnom </w:t>
      </w:r>
      <w:r w:rsidR="008276D2" w:rsidRPr="00C00F2A">
        <w:rPr>
          <w:sz w:val="22"/>
          <w:szCs w:val="22"/>
        </w:rPr>
        <w:t>kontekstu mogu prim</w:t>
      </w:r>
      <w:r w:rsidR="00133AFD" w:rsidRPr="00C00F2A">
        <w:rPr>
          <w:sz w:val="22"/>
          <w:szCs w:val="22"/>
        </w:rPr>
        <w:t>ij</w:t>
      </w:r>
      <w:r w:rsidR="008276D2" w:rsidRPr="00C00F2A">
        <w:rPr>
          <w:sz w:val="22"/>
          <w:szCs w:val="22"/>
        </w:rPr>
        <w:t>eniti pojedini elementi prikazanih modela, kao i opšte preporuke za sprovođenje procesa deinstitucionalizacije.</w:t>
      </w:r>
    </w:p>
    <w:p w:rsidR="008566A1" w:rsidRDefault="008566A1" w:rsidP="00ED0173">
      <w:pPr>
        <w:jc w:val="both"/>
        <w:rPr>
          <w:sz w:val="22"/>
          <w:szCs w:val="22"/>
        </w:rPr>
      </w:pPr>
    </w:p>
    <w:p w:rsidR="00E00D1D" w:rsidRPr="00C00F2A" w:rsidRDefault="00E00D1D" w:rsidP="00ED0173">
      <w:pPr>
        <w:jc w:val="both"/>
        <w:rPr>
          <w:sz w:val="22"/>
          <w:szCs w:val="22"/>
        </w:rPr>
      </w:pPr>
    </w:p>
    <w:p w:rsidR="005A6314" w:rsidRPr="00C00F2A" w:rsidRDefault="005A6314" w:rsidP="005A6314">
      <w:pPr>
        <w:pStyle w:val="Heading2"/>
      </w:pPr>
      <w:bookmarkStart w:id="2" w:name="_Toc473540810"/>
      <w:r w:rsidRPr="00C00F2A">
        <w:lastRenderedPageBreak/>
        <w:t>Osnovni pojmovi</w:t>
      </w:r>
      <w:bookmarkEnd w:id="2"/>
      <w:r w:rsidRPr="00C00F2A">
        <w:t xml:space="preserve"> </w:t>
      </w:r>
    </w:p>
    <w:p w:rsidR="00C00F2A" w:rsidRPr="00C00F2A" w:rsidRDefault="00C00F2A" w:rsidP="00C00F2A">
      <w:pPr>
        <w:rPr>
          <w:sz w:val="22"/>
          <w:szCs w:val="22"/>
        </w:rPr>
      </w:pPr>
    </w:p>
    <w:p w:rsidR="00E80159" w:rsidRPr="00C00F2A" w:rsidRDefault="00E80159" w:rsidP="00E80159">
      <w:pPr>
        <w:pStyle w:val="Heading3"/>
      </w:pPr>
      <w:bookmarkStart w:id="3" w:name="_Toc473540811"/>
      <w:r w:rsidRPr="00C00F2A">
        <w:t>Osobe sa mentalnim smetnjama</w:t>
      </w:r>
      <w:bookmarkEnd w:id="3"/>
    </w:p>
    <w:p w:rsidR="00E80159" w:rsidRPr="00C00F2A" w:rsidRDefault="00E80159" w:rsidP="00ED0173">
      <w:pPr>
        <w:jc w:val="both"/>
        <w:rPr>
          <w:sz w:val="22"/>
          <w:szCs w:val="22"/>
        </w:rPr>
      </w:pPr>
      <w:r w:rsidRPr="00C00F2A">
        <w:rPr>
          <w:sz w:val="22"/>
          <w:szCs w:val="22"/>
        </w:rPr>
        <w:t xml:space="preserve">Izraz “osobe sa mentalnim smetnjama” najčešće se koristi kao zajednički termin za osobe sa intelektualnim, kognitivnim, psihičkim i bilo kojim drugim smetnjama koje su u vezi sa mentalnim funkcionisanjem osobe. </w:t>
      </w:r>
    </w:p>
    <w:p w:rsidR="00C00F2A" w:rsidRPr="00C00F2A" w:rsidRDefault="00C00F2A" w:rsidP="00ED0173">
      <w:pPr>
        <w:jc w:val="both"/>
        <w:rPr>
          <w:sz w:val="8"/>
          <w:szCs w:val="22"/>
        </w:rPr>
      </w:pPr>
    </w:p>
    <w:p w:rsidR="00E80159" w:rsidRPr="00C00F2A" w:rsidRDefault="00E80159" w:rsidP="00E80159">
      <w:pPr>
        <w:pStyle w:val="Heading3"/>
      </w:pPr>
      <w:bookmarkStart w:id="4" w:name="_Toc473540812"/>
      <w:r w:rsidRPr="00C00F2A">
        <w:t>Osobe sa mentalnim oboljenjima</w:t>
      </w:r>
      <w:bookmarkEnd w:id="4"/>
    </w:p>
    <w:p w:rsidR="00E80159" w:rsidRPr="00C00F2A" w:rsidRDefault="00C00F2A" w:rsidP="00ED0173">
      <w:pPr>
        <w:jc w:val="both"/>
        <w:rPr>
          <w:sz w:val="22"/>
          <w:szCs w:val="22"/>
        </w:rPr>
      </w:pPr>
      <w:r w:rsidRPr="00C00F2A">
        <w:rPr>
          <w:noProof/>
          <w:sz w:val="22"/>
          <w:szCs w:val="22"/>
          <w:lang w:val="en-US"/>
        </w:rPr>
        <mc:AlternateContent>
          <mc:Choice Requires="wps">
            <w:drawing>
              <wp:anchor distT="0" distB="0" distL="114300" distR="114300" simplePos="0" relativeHeight="251659264" behindDoc="0" locked="0" layoutInCell="1" allowOverlap="1" wp14:anchorId="1E77A766" wp14:editId="6F5DBD8F">
                <wp:simplePos x="0" y="0"/>
                <wp:positionH relativeFrom="column">
                  <wp:posOffset>17145</wp:posOffset>
                </wp:positionH>
                <wp:positionV relativeFrom="paragraph">
                  <wp:posOffset>1201420</wp:posOffset>
                </wp:positionV>
                <wp:extent cx="5879465" cy="1095375"/>
                <wp:effectExtent l="0" t="0" r="26035" b="28575"/>
                <wp:wrapTopAndBottom/>
                <wp:docPr id="2" name="Rounded Rectangle 2"/>
                <wp:cNvGraphicFramePr/>
                <a:graphic xmlns:a="http://schemas.openxmlformats.org/drawingml/2006/main">
                  <a:graphicData uri="http://schemas.microsoft.com/office/word/2010/wordprocessingShape">
                    <wps:wsp>
                      <wps:cNvSpPr/>
                      <wps:spPr>
                        <a:xfrm>
                          <a:off x="0" y="0"/>
                          <a:ext cx="5879465" cy="10953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F67406" w:rsidRPr="00C00F2A" w:rsidRDefault="00F67406" w:rsidP="00ED0173">
                            <w:pPr>
                              <w:spacing w:before="0" w:after="0" w:line="240" w:lineRule="auto"/>
                              <w:contextualSpacing/>
                              <w:jc w:val="both"/>
                              <w:rPr>
                                <w:rFonts w:ascii="Times New Roman" w:eastAsia="Times New Roman" w:hAnsi="Times New Roman" w:cs="Times New Roman"/>
                                <w:sz w:val="22"/>
                                <w:szCs w:val="24"/>
                                <w:lang w:eastAsia="uz-Cyrl-UZ"/>
                              </w:rPr>
                            </w:pPr>
                            <w:r w:rsidRPr="00C00F2A">
                              <w:rPr>
                                <w:rFonts w:hAnsi="Calibri"/>
                                <w:sz w:val="22"/>
                                <w:szCs w:val="24"/>
                                <w:lang w:eastAsia="uz-Cyrl-UZ"/>
                              </w:rPr>
                              <w:t>"Osobe sa invaliditetom uključuju i one koji imaju dugoročna fizička, mentalna</w:t>
                            </w:r>
                            <w:r>
                              <w:rPr>
                                <w:rFonts w:hAnsi="Calibri"/>
                                <w:sz w:val="22"/>
                                <w:szCs w:val="24"/>
                                <w:lang w:eastAsia="uz-Cyrl-UZ"/>
                              </w:rPr>
                              <w:t>,</w:t>
                            </w:r>
                            <w:r w:rsidRPr="00C00F2A">
                              <w:rPr>
                                <w:rFonts w:hAnsi="Calibri"/>
                                <w:color w:val="FFFFFF" w:themeColor="light1"/>
                                <w:sz w:val="22"/>
                                <w:szCs w:val="24"/>
                                <w:lang w:eastAsia="uz-Cyrl-UZ"/>
                              </w:rPr>
                              <w:t xml:space="preserve"> </w:t>
                            </w:r>
                            <w:r w:rsidRPr="00C00F2A">
                              <w:rPr>
                                <w:rFonts w:hAnsi="Calibri"/>
                                <w:sz w:val="22"/>
                                <w:szCs w:val="24"/>
                                <w:lang w:eastAsia="uz-Cyrl-UZ"/>
                              </w:rPr>
                              <w:t>intelektualna ili čulna oštećenja, koja u interakciji sa raznim preprekama, mogu ometati njihovo puno učešće u društvu na jednakoj osnovi sa drugima."</w:t>
                            </w:r>
                          </w:p>
                          <w:p w:rsidR="00F67406" w:rsidRPr="00C00F2A" w:rsidRDefault="00F67406" w:rsidP="00E80159">
                            <w:pPr>
                              <w:spacing w:before="0" w:after="0" w:line="240" w:lineRule="auto"/>
                              <w:ind w:left="1267"/>
                              <w:contextualSpacing/>
                              <w:jc w:val="right"/>
                              <w:rPr>
                                <w:rFonts w:hAnsi="Calibri"/>
                                <w:i/>
                                <w:iCs/>
                                <w:sz w:val="22"/>
                                <w:szCs w:val="24"/>
                                <w:lang w:eastAsia="uz-Cyrl-UZ"/>
                              </w:rPr>
                            </w:pPr>
                          </w:p>
                          <w:p w:rsidR="00F67406" w:rsidRPr="00C00F2A" w:rsidRDefault="00F67406" w:rsidP="00E80159">
                            <w:pPr>
                              <w:spacing w:before="0" w:after="0" w:line="240" w:lineRule="auto"/>
                              <w:ind w:left="1267"/>
                              <w:contextualSpacing/>
                              <w:jc w:val="right"/>
                              <w:rPr>
                                <w:rFonts w:ascii="Times New Roman" w:eastAsia="Times New Roman" w:hAnsi="Times New Roman" w:cs="Times New Roman"/>
                                <w:sz w:val="22"/>
                                <w:szCs w:val="24"/>
                                <w:lang w:eastAsia="uz-Cyrl-UZ"/>
                              </w:rPr>
                            </w:pPr>
                            <w:r w:rsidRPr="00C00F2A">
                              <w:rPr>
                                <w:rFonts w:hAnsi="Calibri"/>
                                <w:i/>
                                <w:iCs/>
                                <w:sz w:val="22"/>
                                <w:szCs w:val="24"/>
                                <w:lang w:eastAsia="uz-Cyrl-UZ"/>
                              </w:rPr>
                              <w:t>Konvencija o pravima osoba sa invaliditetom, član 1.</w:t>
                            </w:r>
                          </w:p>
                          <w:p w:rsidR="00F67406" w:rsidRPr="00C00F2A" w:rsidRDefault="00F67406" w:rsidP="00E80159">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left:0;text-align:left;margin-left:1.35pt;margin-top:94.6pt;width:462.9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" fillcolor="white [3201]" strokecolor="#4f81bd [3204]" strokeweight="2pt">
                <v:textbox>
                  <w:txbxContent>
                    <w:p w:rsidR="00F67406" w:rsidRPr="00C00F2A" w:rsidRDefault="00F67406" w:rsidP="00ED0173">
                      <w:pPr>
                        <w:spacing w:before="0" w:after="0" w:line="240" w:lineRule="auto"/>
                        <w:contextualSpacing/>
                        <w:jc w:val="both"/>
                        <w:rPr>
                          <w:rFonts w:ascii="Times New Roman" w:eastAsia="Times New Roman" w:hAnsi="Times New Roman" w:cs="Times New Roman"/>
                          <w:sz w:val="22"/>
                          <w:szCs w:val="24"/>
                          <w:lang w:eastAsia="uz-Cyrl-UZ"/>
                        </w:rPr>
                      </w:pPr>
                      <w:r w:rsidRPr="00C00F2A">
                        <w:rPr>
                          <w:rFonts w:hAnsi="Calibri"/>
                          <w:sz w:val="22"/>
                          <w:szCs w:val="24"/>
                          <w:lang w:eastAsia="uz-Cyrl-UZ"/>
                        </w:rPr>
                        <w:t>"Osobe sa invaliditetom uključuju i one koji imaju dugoročna fizička, mentalna</w:t>
                      </w:r>
                      <w:r>
                        <w:rPr>
                          <w:rFonts w:hAnsi="Calibri"/>
                          <w:sz w:val="22"/>
                          <w:szCs w:val="24"/>
                          <w:lang w:eastAsia="uz-Cyrl-UZ"/>
                        </w:rPr>
                        <w:t>,</w:t>
                      </w:r>
                      <w:r w:rsidRPr="00C00F2A">
                        <w:rPr>
                          <w:rFonts w:hAnsi="Calibri"/>
                          <w:color w:val="FFFFFF" w:themeColor="light1"/>
                          <w:sz w:val="22"/>
                          <w:szCs w:val="24"/>
                          <w:lang w:eastAsia="uz-Cyrl-UZ"/>
                        </w:rPr>
                        <w:t xml:space="preserve"> </w:t>
                      </w:r>
                      <w:r w:rsidRPr="00C00F2A">
                        <w:rPr>
                          <w:rFonts w:hAnsi="Calibri"/>
                          <w:sz w:val="22"/>
                          <w:szCs w:val="24"/>
                          <w:lang w:eastAsia="uz-Cyrl-UZ"/>
                        </w:rPr>
                        <w:t>intelektualna ili čulna oštećenja, koja u interakciji sa raznim preprekama, mogu ometati njihovo puno učešće u društvu na jednakoj osnovi sa drugima."</w:t>
                      </w:r>
                    </w:p>
                    <w:p w:rsidR="00F67406" w:rsidRPr="00C00F2A" w:rsidRDefault="00F67406" w:rsidP="00E80159">
                      <w:pPr>
                        <w:spacing w:before="0" w:after="0" w:line="240" w:lineRule="auto"/>
                        <w:ind w:left="1267"/>
                        <w:contextualSpacing/>
                        <w:jc w:val="right"/>
                        <w:rPr>
                          <w:rFonts w:hAnsi="Calibri"/>
                          <w:i/>
                          <w:iCs/>
                          <w:sz w:val="22"/>
                          <w:szCs w:val="24"/>
                          <w:lang w:eastAsia="uz-Cyrl-UZ"/>
                        </w:rPr>
                      </w:pPr>
                    </w:p>
                    <w:p w:rsidR="00F67406" w:rsidRPr="00C00F2A" w:rsidRDefault="00F67406" w:rsidP="00E80159">
                      <w:pPr>
                        <w:spacing w:before="0" w:after="0" w:line="240" w:lineRule="auto"/>
                        <w:ind w:left="1267"/>
                        <w:contextualSpacing/>
                        <w:jc w:val="right"/>
                        <w:rPr>
                          <w:rFonts w:ascii="Times New Roman" w:eastAsia="Times New Roman" w:hAnsi="Times New Roman" w:cs="Times New Roman"/>
                          <w:sz w:val="22"/>
                          <w:szCs w:val="24"/>
                          <w:lang w:eastAsia="uz-Cyrl-UZ"/>
                        </w:rPr>
                      </w:pPr>
                      <w:r w:rsidRPr="00C00F2A">
                        <w:rPr>
                          <w:rFonts w:hAnsi="Calibri"/>
                          <w:i/>
                          <w:iCs/>
                          <w:sz w:val="22"/>
                          <w:szCs w:val="24"/>
                          <w:lang w:eastAsia="uz-Cyrl-UZ"/>
                        </w:rPr>
                        <w:t>Konvencija o pravima osoba sa invaliditetom, član 1.</w:t>
                      </w:r>
                    </w:p>
                    <w:p w:rsidR="00F67406" w:rsidRPr="00C00F2A" w:rsidRDefault="00F67406" w:rsidP="00E80159">
                      <w:pPr>
                        <w:jc w:val="center"/>
                        <w:rPr>
                          <w:sz w:val="22"/>
                        </w:rPr>
                      </w:pPr>
                    </w:p>
                  </w:txbxContent>
                </v:textbox>
                <w10:wrap type="topAndBottom"/>
              </v:roundrect>
            </w:pict>
          </mc:Fallback>
        </mc:AlternateContent>
      </w:r>
      <w:r w:rsidR="00E80159" w:rsidRPr="00C00F2A">
        <w:rPr>
          <w:sz w:val="22"/>
          <w:szCs w:val="22"/>
        </w:rPr>
        <w:t xml:space="preserve">Izraz “osobe sa mentalnim oboljenjima” </w:t>
      </w:r>
      <w:r w:rsidR="00EB032D" w:rsidRPr="00C00F2A">
        <w:rPr>
          <w:sz w:val="22"/>
          <w:szCs w:val="22"/>
        </w:rPr>
        <w:t>se odnosi na lica koja imaju psi</w:t>
      </w:r>
      <w:r w:rsidR="00E80159" w:rsidRPr="00C00F2A">
        <w:rPr>
          <w:sz w:val="22"/>
          <w:szCs w:val="22"/>
        </w:rPr>
        <w:t>hijatrijsku dijagnozu i koja se</w:t>
      </w:r>
      <w:r w:rsidR="00EB032D" w:rsidRPr="00C00F2A">
        <w:rPr>
          <w:sz w:val="22"/>
          <w:szCs w:val="22"/>
        </w:rPr>
        <w:t>,</w:t>
      </w:r>
      <w:r w:rsidR="00E80159" w:rsidRPr="00C00F2A">
        <w:rPr>
          <w:sz w:val="22"/>
          <w:szCs w:val="22"/>
        </w:rPr>
        <w:t xml:space="preserve"> u skladu sa tim</w:t>
      </w:r>
      <w:r w:rsidR="00EB032D" w:rsidRPr="00C00F2A">
        <w:rPr>
          <w:sz w:val="22"/>
          <w:szCs w:val="22"/>
        </w:rPr>
        <w:t>,</w:t>
      </w:r>
      <w:r w:rsidR="00E80159" w:rsidRPr="00C00F2A">
        <w:rPr>
          <w:sz w:val="22"/>
          <w:szCs w:val="22"/>
        </w:rPr>
        <w:t xml:space="preserve"> l</w:t>
      </w:r>
      <w:r w:rsidR="00EB032D" w:rsidRPr="00C00F2A">
        <w:rPr>
          <w:sz w:val="22"/>
          <w:szCs w:val="22"/>
        </w:rPr>
        <w:t>ij</w:t>
      </w:r>
      <w:r w:rsidR="00E80159" w:rsidRPr="00C00F2A">
        <w:rPr>
          <w:sz w:val="22"/>
          <w:szCs w:val="22"/>
        </w:rPr>
        <w:t>eče. Konvencija o pravima osoba sa invaliditetom</w:t>
      </w:r>
      <w:r w:rsidR="00090913" w:rsidRPr="00C00F2A">
        <w:rPr>
          <w:rStyle w:val="FootnoteReference"/>
          <w:sz w:val="22"/>
          <w:szCs w:val="22"/>
        </w:rPr>
        <w:footnoteReference w:id="2"/>
      </w:r>
      <w:r w:rsidR="00E80159" w:rsidRPr="00C00F2A">
        <w:rPr>
          <w:sz w:val="22"/>
          <w:szCs w:val="22"/>
        </w:rPr>
        <w:t xml:space="preserve"> uključuje i ovu grupu osoba, iako se mnogi među njima ne identifikuju kao osobe sa invaliditetom zbog tradicionalno</w:t>
      </w:r>
      <w:r w:rsidR="004F1F3E">
        <w:rPr>
          <w:sz w:val="22"/>
          <w:szCs w:val="22"/>
        </w:rPr>
        <w:t>g</w:t>
      </w:r>
      <w:r w:rsidR="00E80159" w:rsidRPr="00C00F2A">
        <w:rPr>
          <w:sz w:val="22"/>
          <w:szCs w:val="22"/>
        </w:rPr>
        <w:t xml:space="preserve"> poimanja termina invaliditet</w:t>
      </w:r>
      <w:r w:rsidR="00F2018F" w:rsidRPr="00C00F2A">
        <w:rPr>
          <w:sz w:val="22"/>
          <w:szCs w:val="22"/>
        </w:rPr>
        <w:t>,</w:t>
      </w:r>
      <w:r w:rsidR="00E80159" w:rsidRPr="00C00F2A">
        <w:rPr>
          <w:sz w:val="22"/>
          <w:szCs w:val="22"/>
        </w:rPr>
        <w:t xml:space="preserve"> koji se najčešće poistov</w:t>
      </w:r>
      <w:r w:rsidR="00DB476D" w:rsidRPr="00C00F2A">
        <w:rPr>
          <w:sz w:val="22"/>
          <w:szCs w:val="22"/>
        </w:rPr>
        <w:t>j</w:t>
      </w:r>
      <w:r w:rsidR="00E80159" w:rsidRPr="00C00F2A">
        <w:rPr>
          <w:sz w:val="22"/>
          <w:szCs w:val="22"/>
        </w:rPr>
        <w:t xml:space="preserve">ećuje sa očiglednim fizičkim </w:t>
      </w:r>
      <w:r w:rsidR="00597A79" w:rsidRPr="00C00F2A">
        <w:rPr>
          <w:sz w:val="22"/>
          <w:szCs w:val="22"/>
        </w:rPr>
        <w:t>nedostacima.</w:t>
      </w:r>
    </w:p>
    <w:p w:rsidR="00E80159" w:rsidRPr="00C00F2A" w:rsidRDefault="00E80159" w:rsidP="00E80159">
      <w:pPr>
        <w:rPr>
          <w:sz w:val="18"/>
          <w:szCs w:val="22"/>
        </w:rPr>
      </w:pPr>
    </w:p>
    <w:p w:rsidR="005A6314" w:rsidRPr="00C00F2A" w:rsidRDefault="005A6314" w:rsidP="005A6314">
      <w:pPr>
        <w:pStyle w:val="Heading3"/>
      </w:pPr>
      <w:bookmarkStart w:id="5" w:name="_Toc473540813"/>
      <w:r w:rsidRPr="00C00F2A">
        <w:t>Institucionalno zbrinjavanje</w:t>
      </w:r>
      <w:bookmarkEnd w:id="5"/>
    </w:p>
    <w:p w:rsidR="005A6314" w:rsidRPr="00D32E1B" w:rsidRDefault="005A6314" w:rsidP="007133BF">
      <w:pPr>
        <w:jc w:val="both"/>
        <w:rPr>
          <w:sz w:val="20"/>
          <w:szCs w:val="22"/>
        </w:rPr>
      </w:pPr>
      <w:r w:rsidRPr="00C00F2A">
        <w:rPr>
          <w:sz w:val="22"/>
          <w:szCs w:val="22"/>
        </w:rPr>
        <w:t>Institucionalno zbrinjavanje podrazum</w:t>
      </w:r>
      <w:r w:rsidR="00DB476D" w:rsidRPr="00C00F2A">
        <w:rPr>
          <w:sz w:val="22"/>
          <w:szCs w:val="22"/>
        </w:rPr>
        <w:t>ij</w:t>
      </w:r>
      <w:r w:rsidRPr="00C00F2A">
        <w:rPr>
          <w:sz w:val="22"/>
          <w:szCs w:val="22"/>
        </w:rPr>
        <w:t>eva dugoročno sm</w:t>
      </w:r>
      <w:r w:rsidR="00DB476D" w:rsidRPr="00C00F2A">
        <w:rPr>
          <w:sz w:val="22"/>
          <w:szCs w:val="22"/>
        </w:rPr>
        <w:t>j</w:t>
      </w:r>
      <w:r w:rsidR="004041F1" w:rsidRPr="00C00F2A">
        <w:rPr>
          <w:sz w:val="22"/>
          <w:szCs w:val="22"/>
        </w:rPr>
        <w:t>eštanje osoba sa mentalnim smetnjam</w:t>
      </w:r>
      <w:r w:rsidRPr="00C00F2A">
        <w:rPr>
          <w:sz w:val="22"/>
          <w:szCs w:val="22"/>
        </w:rPr>
        <w:t xml:space="preserve">a u izolovane, specijalizovane ustanove sa velikim brojem korisnika. Iako se najveći broj osoba sa mentalnim </w:t>
      </w:r>
      <w:r w:rsidR="004041F1" w:rsidRPr="00C00F2A">
        <w:rPr>
          <w:sz w:val="22"/>
          <w:szCs w:val="22"/>
        </w:rPr>
        <w:t>smetnjam</w:t>
      </w:r>
      <w:r w:rsidRPr="00C00F2A">
        <w:rPr>
          <w:sz w:val="22"/>
          <w:szCs w:val="22"/>
        </w:rPr>
        <w:t>a nalazi u psihijatrijskim bolnicama i od</w:t>
      </w:r>
      <w:r w:rsidR="006A08CA" w:rsidRPr="00C00F2A">
        <w:rPr>
          <w:sz w:val="22"/>
          <w:szCs w:val="22"/>
        </w:rPr>
        <w:t>j</w:t>
      </w:r>
      <w:r w:rsidRPr="00C00F2A">
        <w:rPr>
          <w:sz w:val="22"/>
          <w:szCs w:val="22"/>
        </w:rPr>
        <w:t xml:space="preserve">eljenjima, njih možemo naći i u ustanovama socijalnog staranja za osobe sa invaliditetom i u domovima za stare. </w:t>
      </w:r>
      <w:r w:rsidRPr="00A31FAC">
        <w:rPr>
          <w:b/>
          <w:sz w:val="22"/>
          <w:szCs w:val="22"/>
        </w:rPr>
        <w:t>Institucionalno zbrinjavanje</w:t>
      </w:r>
      <w:r w:rsidR="006A08CA" w:rsidRPr="00A31FAC">
        <w:rPr>
          <w:b/>
          <w:sz w:val="22"/>
          <w:szCs w:val="22"/>
        </w:rPr>
        <w:t>,</w:t>
      </w:r>
      <w:r w:rsidRPr="00A31FAC">
        <w:rPr>
          <w:b/>
          <w:sz w:val="22"/>
          <w:szCs w:val="22"/>
        </w:rPr>
        <w:t xml:space="preserve"> pr</w:t>
      </w:r>
      <w:r w:rsidR="006A08CA" w:rsidRPr="00A31FAC">
        <w:rPr>
          <w:b/>
          <w:sz w:val="22"/>
          <w:szCs w:val="22"/>
        </w:rPr>
        <w:t>ij</w:t>
      </w:r>
      <w:r w:rsidRPr="00A31FAC">
        <w:rPr>
          <w:b/>
          <w:sz w:val="22"/>
          <w:szCs w:val="22"/>
        </w:rPr>
        <w:t>e svega</w:t>
      </w:r>
      <w:r w:rsidR="006A08CA" w:rsidRPr="00A31FAC">
        <w:rPr>
          <w:b/>
          <w:sz w:val="22"/>
          <w:szCs w:val="22"/>
        </w:rPr>
        <w:t>,</w:t>
      </w:r>
      <w:r w:rsidRPr="00A31FAC">
        <w:rPr>
          <w:b/>
          <w:sz w:val="22"/>
          <w:szCs w:val="22"/>
        </w:rPr>
        <w:t xml:space="preserve"> karakteriše segregacija, izopštenost iz zajednice, manjak privatnosti i lične autonomije, gubitak kontrole nad sopstvenim životom, pri čemu potrebe institucije imaju prednost u odnosu na lične potrebe osoba koje u njima žive.</w:t>
      </w:r>
      <w:r w:rsidRPr="00C00F2A">
        <w:rPr>
          <w:sz w:val="22"/>
          <w:szCs w:val="22"/>
        </w:rPr>
        <w:t xml:space="preserve"> Iako se</w:t>
      </w:r>
      <w:r w:rsidR="004041F1" w:rsidRPr="00C00F2A">
        <w:rPr>
          <w:sz w:val="22"/>
          <w:szCs w:val="22"/>
        </w:rPr>
        <w:t xml:space="preserve"> inicijalno osobe sa mentalnim smetnjam</w:t>
      </w:r>
      <w:r w:rsidRPr="00C00F2A">
        <w:rPr>
          <w:sz w:val="22"/>
          <w:szCs w:val="22"/>
        </w:rPr>
        <w:t>a sm</w:t>
      </w:r>
      <w:r w:rsidR="006A08CA" w:rsidRPr="00C00F2A">
        <w:rPr>
          <w:sz w:val="22"/>
          <w:szCs w:val="22"/>
        </w:rPr>
        <w:t>j</w:t>
      </w:r>
      <w:r w:rsidRPr="00C00F2A">
        <w:rPr>
          <w:sz w:val="22"/>
          <w:szCs w:val="22"/>
        </w:rPr>
        <w:t>eštaju u institucije radi l</w:t>
      </w:r>
      <w:r w:rsidR="006A08CA" w:rsidRPr="00C00F2A">
        <w:rPr>
          <w:sz w:val="22"/>
          <w:szCs w:val="22"/>
        </w:rPr>
        <w:t>ij</w:t>
      </w:r>
      <w:r w:rsidRPr="00C00F2A">
        <w:rPr>
          <w:sz w:val="22"/>
          <w:szCs w:val="22"/>
        </w:rPr>
        <w:t>ečenja, one tamo ostaju godinama, čak i decenijama</w:t>
      </w:r>
      <w:r w:rsidR="007133BF" w:rsidRPr="00C00F2A">
        <w:rPr>
          <w:sz w:val="22"/>
          <w:szCs w:val="22"/>
        </w:rPr>
        <w:t>,</w:t>
      </w:r>
      <w:r w:rsidR="00D1091A" w:rsidRPr="00C00F2A">
        <w:rPr>
          <w:sz w:val="22"/>
          <w:szCs w:val="22"/>
        </w:rPr>
        <w:t xml:space="preserve"> </w:t>
      </w:r>
      <w:r w:rsidRPr="00C00F2A">
        <w:rPr>
          <w:sz w:val="22"/>
          <w:szCs w:val="22"/>
        </w:rPr>
        <w:t>i to ne zbog kontinuirane potrebe za l</w:t>
      </w:r>
      <w:r w:rsidR="006A08CA" w:rsidRPr="00C00F2A">
        <w:rPr>
          <w:sz w:val="22"/>
          <w:szCs w:val="22"/>
        </w:rPr>
        <w:t>ij</w:t>
      </w:r>
      <w:r w:rsidRPr="00C00F2A">
        <w:rPr>
          <w:sz w:val="22"/>
          <w:szCs w:val="22"/>
        </w:rPr>
        <w:t>ečenjem</w:t>
      </w:r>
      <w:r w:rsidR="006A08CA" w:rsidRPr="00C00F2A">
        <w:rPr>
          <w:sz w:val="22"/>
          <w:szCs w:val="22"/>
        </w:rPr>
        <w:t>,</w:t>
      </w:r>
      <w:r w:rsidRPr="00C00F2A">
        <w:rPr>
          <w:sz w:val="22"/>
          <w:szCs w:val="22"/>
        </w:rPr>
        <w:t xml:space="preserve"> već zbog nedostatka socijalnih s</w:t>
      </w:r>
      <w:r w:rsidR="006A08CA" w:rsidRPr="00C00F2A">
        <w:rPr>
          <w:sz w:val="22"/>
          <w:szCs w:val="22"/>
        </w:rPr>
        <w:t>l</w:t>
      </w:r>
      <w:r w:rsidRPr="00C00F2A">
        <w:rPr>
          <w:sz w:val="22"/>
          <w:szCs w:val="22"/>
        </w:rPr>
        <w:t>užbi u zajednici</w:t>
      </w:r>
      <w:r w:rsidR="00E458C2" w:rsidRPr="00C00F2A">
        <w:rPr>
          <w:sz w:val="22"/>
          <w:szCs w:val="22"/>
        </w:rPr>
        <w:t>,</w:t>
      </w:r>
      <w:r w:rsidRPr="00C00F2A">
        <w:rPr>
          <w:sz w:val="22"/>
          <w:szCs w:val="22"/>
        </w:rPr>
        <w:t xml:space="preserve"> koje bi ovim osobama trebalo da pruže podršku nakon izlaska iz institucije.</w:t>
      </w:r>
      <w:r w:rsidR="00D1091A" w:rsidRPr="00C00F2A">
        <w:rPr>
          <w:rStyle w:val="FootnoteReference"/>
          <w:sz w:val="22"/>
          <w:szCs w:val="22"/>
        </w:rPr>
        <w:footnoteReference w:id="3"/>
      </w:r>
    </w:p>
    <w:p w:rsidR="005A6314" w:rsidRPr="00C00F2A" w:rsidRDefault="005A6314" w:rsidP="005A6314">
      <w:pPr>
        <w:pStyle w:val="Heading3"/>
      </w:pPr>
      <w:bookmarkStart w:id="6" w:name="_Toc473540814"/>
      <w:r w:rsidRPr="00C00F2A">
        <w:lastRenderedPageBreak/>
        <w:t>Deinstitucionalizacija</w:t>
      </w:r>
      <w:bookmarkEnd w:id="6"/>
    </w:p>
    <w:p w:rsidR="005A6314" w:rsidRPr="00C00F2A" w:rsidRDefault="005A6314" w:rsidP="007133BF">
      <w:pPr>
        <w:jc w:val="both"/>
        <w:rPr>
          <w:sz w:val="22"/>
          <w:szCs w:val="22"/>
        </w:rPr>
      </w:pPr>
      <w:r w:rsidRPr="00C00F2A">
        <w:rPr>
          <w:sz w:val="22"/>
          <w:szCs w:val="22"/>
        </w:rPr>
        <w:t>Proces deinstitucionalizacije predstavlja prelaz sa institucionalnog zbrinjavanja na brigu i podršku u zajednici</w:t>
      </w:r>
      <w:r w:rsidR="00E458C2" w:rsidRPr="00C00F2A">
        <w:rPr>
          <w:sz w:val="22"/>
          <w:szCs w:val="22"/>
        </w:rPr>
        <w:t>,</w:t>
      </w:r>
      <w:r w:rsidRPr="00C00F2A">
        <w:rPr>
          <w:sz w:val="22"/>
          <w:szCs w:val="22"/>
        </w:rPr>
        <w:t xml:space="preserve"> tj. praksu pružanja </w:t>
      </w:r>
      <w:r w:rsidR="00090913" w:rsidRPr="00C00F2A">
        <w:rPr>
          <w:sz w:val="22"/>
          <w:szCs w:val="22"/>
        </w:rPr>
        <w:t xml:space="preserve">individualizovane, </w:t>
      </w:r>
      <w:r w:rsidRPr="00C00F2A">
        <w:rPr>
          <w:sz w:val="22"/>
          <w:szCs w:val="22"/>
        </w:rPr>
        <w:t>pojedincu</w:t>
      </w:r>
      <w:r w:rsidR="00090913" w:rsidRPr="00C00F2A">
        <w:rPr>
          <w:sz w:val="22"/>
          <w:szCs w:val="22"/>
        </w:rPr>
        <w:t xml:space="preserve"> prilagođene podrške</w:t>
      </w:r>
      <w:r w:rsidRPr="00C00F2A">
        <w:rPr>
          <w:sz w:val="22"/>
          <w:szCs w:val="22"/>
        </w:rPr>
        <w:t xml:space="preserve"> u prirodnom okruženju. </w:t>
      </w:r>
      <w:r w:rsidRPr="001F556D">
        <w:rPr>
          <w:b/>
          <w:sz w:val="22"/>
          <w:szCs w:val="22"/>
        </w:rPr>
        <w:t xml:space="preserve">Deinstitucionalizacija se nekada pogrešno interpretira </w:t>
      </w:r>
      <w:r w:rsidR="00F2018F" w:rsidRPr="001F556D">
        <w:rPr>
          <w:b/>
          <w:sz w:val="22"/>
          <w:szCs w:val="22"/>
        </w:rPr>
        <w:t xml:space="preserve">samo </w:t>
      </w:r>
      <w:r w:rsidRPr="001F556D">
        <w:rPr>
          <w:b/>
          <w:sz w:val="22"/>
          <w:szCs w:val="22"/>
        </w:rPr>
        <w:t>kao izm</w:t>
      </w:r>
      <w:r w:rsidR="00B13156" w:rsidRPr="001F556D">
        <w:rPr>
          <w:b/>
          <w:sz w:val="22"/>
          <w:szCs w:val="22"/>
        </w:rPr>
        <w:t>j</w:t>
      </w:r>
      <w:r w:rsidRPr="001F556D">
        <w:rPr>
          <w:b/>
          <w:sz w:val="22"/>
          <w:szCs w:val="22"/>
        </w:rPr>
        <w:t>eštanje korisnika iz velikih rezidencijalnih ustanova u rezidencijalne jedinice manjeg kapaciteta</w:t>
      </w:r>
      <w:r w:rsidRPr="00C00F2A">
        <w:rPr>
          <w:sz w:val="22"/>
          <w:szCs w:val="22"/>
        </w:rPr>
        <w:t>.</w:t>
      </w:r>
      <w:r w:rsidR="00090913" w:rsidRPr="00C00F2A">
        <w:rPr>
          <w:sz w:val="22"/>
          <w:szCs w:val="22"/>
        </w:rPr>
        <w:t xml:space="preserve"> O</w:t>
      </w:r>
      <w:r w:rsidRPr="00C00F2A">
        <w:rPr>
          <w:sz w:val="22"/>
          <w:szCs w:val="22"/>
        </w:rPr>
        <w:t>na</w:t>
      </w:r>
      <w:r w:rsidR="00090913" w:rsidRPr="00C00F2A">
        <w:rPr>
          <w:sz w:val="22"/>
          <w:szCs w:val="22"/>
        </w:rPr>
        <w:t>, zapravo,</w:t>
      </w:r>
      <w:r w:rsidRPr="00C00F2A">
        <w:rPr>
          <w:sz w:val="22"/>
          <w:szCs w:val="22"/>
        </w:rPr>
        <w:t xml:space="preserve"> predstavlja kompleksan proces koji podrazum</w:t>
      </w:r>
      <w:r w:rsidR="00B13156" w:rsidRPr="00C00F2A">
        <w:rPr>
          <w:sz w:val="22"/>
          <w:szCs w:val="22"/>
        </w:rPr>
        <w:t>ij</w:t>
      </w:r>
      <w:r w:rsidRPr="00C00F2A">
        <w:rPr>
          <w:sz w:val="22"/>
          <w:szCs w:val="22"/>
        </w:rPr>
        <w:t>eva prom</w:t>
      </w:r>
      <w:r w:rsidR="00B13156" w:rsidRPr="00C00F2A">
        <w:rPr>
          <w:sz w:val="22"/>
          <w:szCs w:val="22"/>
        </w:rPr>
        <w:t>j</w:t>
      </w:r>
      <w:r w:rsidRPr="00C00F2A">
        <w:rPr>
          <w:sz w:val="22"/>
          <w:szCs w:val="22"/>
        </w:rPr>
        <w:t xml:space="preserve">enu pristupa u pružanju podrške osobama sa mentalnim </w:t>
      </w:r>
      <w:r w:rsidR="004041F1" w:rsidRPr="00C00F2A">
        <w:rPr>
          <w:sz w:val="22"/>
          <w:szCs w:val="22"/>
        </w:rPr>
        <w:t>smetnjama</w:t>
      </w:r>
      <w:r w:rsidRPr="00C00F2A">
        <w:rPr>
          <w:sz w:val="22"/>
          <w:szCs w:val="22"/>
        </w:rPr>
        <w:t xml:space="preserve"> i drugim vrstama invaliditeta razvojem usluga u zajednici, uključujući prevenciju kojom se smanjuje potreba za institucionalnom zaštitom.</w:t>
      </w:r>
      <w:r w:rsidR="00090913" w:rsidRPr="00C00F2A">
        <w:rPr>
          <w:sz w:val="22"/>
          <w:szCs w:val="22"/>
        </w:rPr>
        <w:t xml:space="preserve"> </w:t>
      </w:r>
    </w:p>
    <w:p w:rsidR="00C00F2A" w:rsidRPr="00D32E1B" w:rsidRDefault="00C00F2A" w:rsidP="007133BF">
      <w:pPr>
        <w:jc w:val="both"/>
        <w:rPr>
          <w:sz w:val="12"/>
          <w:szCs w:val="22"/>
        </w:rPr>
      </w:pPr>
    </w:p>
    <w:p w:rsidR="00E80159" w:rsidRPr="00C00F2A" w:rsidRDefault="00E80159" w:rsidP="00E80159">
      <w:pPr>
        <w:pStyle w:val="Heading3"/>
      </w:pPr>
      <w:bookmarkStart w:id="7" w:name="_Toc473540815"/>
      <w:r w:rsidRPr="00C00F2A">
        <w:t>Prevencija</w:t>
      </w:r>
      <w:bookmarkEnd w:id="7"/>
    </w:p>
    <w:p w:rsidR="00E80159" w:rsidRPr="00C00F2A" w:rsidRDefault="00B13156" w:rsidP="007133BF">
      <w:pPr>
        <w:jc w:val="both"/>
        <w:rPr>
          <w:sz w:val="22"/>
          <w:szCs w:val="22"/>
        </w:rPr>
      </w:pPr>
      <w:r w:rsidRPr="00C00F2A">
        <w:rPr>
          <w:sz w:val="22"/>
          <w:szCs w:val="22"/>
        </w:rPr>
        <w:t>Prevencija je sastavni di</w:t>
      </w:r>
      <w:r w:rsidR="00E80159" w:rsidRPr="00C00F2A">
        <w:rPr>
          <w:sz w:val="22"/>
          <w:szCs w:val="22"/>
        </w:rPr>
        <w:t>o procesa prelaska sa institucionalnog zbrinjavanja na sistem podrške u zajednici. Ona uključuje širok spektar usluga podrške pojedincima i njihovim porodicama</w:t>
      </w:r>
      <w:r w:rsidRPr="00C00F2A">
        <w:rPr>
          <w:sz w:val="22"/>
          <w:szCs w:val="22"/>
        </w:rPr>
        <w:t>,</w:t>
      </w:r>
      <w:r w:rsidR="00E80159" w:rsidRPr="00C00F2A">
        <w:rPr>
          <w:sz w:val="22"/>
          <w:szCs w:val="22"/>
        </w:rPr>
        <w:t xml:space="preserve"> kojima se obezb</w:t>
      </w:r>
      <w:r w:rsidRPr="00C00F2A">
        <w:rPr>
          <w:sz w:val="22"/>
          <w:szCs w:val="22"/>
        </w:rPr>
        <w:t>j</w:t>
      </w:r>
      <w:r w:rsidR="00E80159" w:rsidRPr="00C00F2A">
        <w:rPr>
          <w:sz w:val="22"/>
          <w:szCs w:val="22"/>
        </w:rPr>
        <w:t>eđuje pravovremen i adekvatan odgovor na specifične potrebe osobe</w:t>
      </w:r>
      <w:r w:rsidRPr="00C00F2A">
        <w:rPr>
          <w:sz w:val="22"/>
          <w:szCs w:val="22"/>
        </w:rPr>
        <w:t>,</w:t>
      </w:r>
      <w:r w:rsidR="00E80159" w:rsidRPr="00C00F2A">
        <w:rPr>
          <w:sz w:val="22"/>
          <w:szCs w:val="22"/>
        </w:rPr>
        <w:t xml:space="preserve"> kako bi se spr</w:t>
      </w:r>
      <w:r w:rsidRPr="00C00F2A">
        <w:rPr>
          <w:sz w:val="22"/>
          <w:szCs w:val="22"/>
        </w:rPr>
        <w:t>ij</w:t>
      </w:r>
      <w:r w:rsidR="00E80159" w:rsidRPr="00C00F2A">
        <w:rPr>
          <w:sz w:val="22"/>
          <w:szCs w:val="22"/>
        </w:rPr>
        <w:t>ečila potreba za institucionalizacijom</w:t>
      </w:r>
      <w:r w:rsidR="00090913" w:rsidRPr="00C00F2A">
        <w:rPr>
          <w:sz w:val="22"/>
          <w:szCs w:val="22"/>
        </w:rPr>
        <w:t xml:space="preserve"> odn. dugotrajnom </w:t>
      </w:r>
      <w:r w:rsidR="00F2018F" w:rsidRPr="00C00F2A">
        <w:rPr>
          <w:sz w:val="22"/>
          <w:szCs w:val="22"/>
        </w:rPr>
        <w:t xml:space="preserve">ili čestom </w:t>
      </w:r>
      <w:r w:rsidR="00090913" w:rsidRPr="00C00F2A">
        <w:rPr>
          <w:sz w:val="22"/>
          <w:szCs w:val="22"/>
        </w:rPr>
        <w:t>hospitalizacijom</w:t>
      </w:r>
      <w:r w:rsidR="00E80159" w:rsidRPr="00C00F2A">
        <w:rPr>
          <w:sz w:val="22"/>
          <w:szCs w:val="22"/>
        </w:rPr>
        <w:t>.</w:t>
      </w:r>
    </w:p>
    <w:p w:rsidR="00E80159" w:rsidRPr="00C00F2A" w:rsidRDefault="00E80159" w:rsidP="007133BF">
      <w:pPr>
        <w:jc w:val="both"/>
        <w:rPr>
          <w:sz w:val="22"/>
          <w:szCs w:val="22"/>
        </w:rPr>
      </w:pPr>
      <w:r w:rsidRPr="00C00F2A">
        <w:rPr>
          <w:sz w:val="22"/>
          <w:szCs w:val="22"/>
        </w:rPr>
        <w:t>Može se reći da preventivne službe predstavljaju suštinu dobrog procesa transformacije. Ukoliko se uzroci za sm</w:t>
      </w:r>
      <w:r w:rsidR="00B13156" w:rsidRPr="00C00F2A">
        <w:rPr>
          <w:sz w:val="22"/>
          <w:szCs w:val="22"/>
        </w:rPr>
        <w:t>j</w:t>
      </w:r>
      <w:r w:rsidRPr="00C00F2A">
        <w:rPr>
          <w:sz w:val="22"/>
          <w:szCs w:val="22"/>
        </w:rPr>
        <w:t>eštaj u instituciju ne otklone</w:t>
      </w:r>
      <w:r w:rsidR="00B13156" w:rsidRPr="00C00F2A">
        <w:rPr>
          <w:sz w:val="22"/>
          <w:szCs w:val="22"/>
        </w:rPr>
        <w:t>,</w:t>
      </w:r>
      <w:r w:rsidRPr="00C00F2A">
        <w:rPr>
          <w:sz w:val="22"/>
          <w:szCs w:val="22"/>
        </w:rPr>
        <w:t xml:space="preserve"> proces će neizb</w:t>
      </w:r>
      <w:r w:rsidR="00B13156" w:rsidRPr="00C00F2A">
        <w:rPr>
          <w:sz w:val="22"/>
          <w:szCs w:val="22"/>
        </w:rPr>
        <w:t>j</w:t>
      </w:r>
      <w:r w:rsidRPr="00C00F2A">
        <w:rPr>
          <w:sz w:val="22"/>
          <w:szCs w:val="22"/>
        </w:rPr>
        <w:t xml:space="preserve">ežno voditi prijemu novih osoba u te iste ustanove. </w:t>
      </w:r>
    </w:p>
    <w:p w:rsidR="00E80159" w:rsidRPr="00C00F2A" w:rsidRDefault="00E80159" w:rsidP="007133BF">
      <w:pPr>
        <w:jc w:val="both"/>
        <w:rPr>
          <w:sz w:val="22"/>
          <w:szCs w:val="22"/>
        </w:rPr>
      </w:pPr>
      <w:r w:rsidRPr="00625B9B">
        <w:rPr>
          <w:sz w:val="22"/>
          <w:szCs w:val="22"/>
        </w:rPr>
        <w:t>Prevencija je od posebnog značaja za osobe sa mentalnim oboljenjima</w:t>
      </w:r>
      <w:r w:rsidRPr="00C00F2A">
        <w:rPr>
          <w:sz w:val="22"/>
          <w:szCs w:val="22"/>
        </w:rPr>
        <w:t>. Preventivne usluge, kao što su centri za mentalno zdravlje i prihvatilišta, moraju biti razvijene tako da im se može lako pristupiti u kriznom trenutku.</w:t>
      </w:r>
      <w:r w:rsidR="00676076" w:rsidRPr="00C00F2A">
        <w:rPr>
          <w:sz w:val="22"/>
          <w:szCs w:val="22"/>
        </w:rPr>
        <w:t xml:space="preserve"> Takođe, one moraju imati i proaktivan karakter, tako da osoba uslugu može dobiti i kod svoje kuće, čak i kada je aktivno ne traži. U tom smislu, uloga ovih službi sastoji s</w:t>
      </w:r>
      <w:r w:rsidR="00BA45A6" w:rsidRPr="00C00F2A">
        <w:rPr>
          <w:sz w:val="22"/>
          <w:szCs w:val="22"/>
        </w:rPr>
        <w:t>e i u mapiranju postojećih, ali</w:t>
      </w:r>
      <w:r w:rsidR="00676076" w:rsidRPr="00C00F2A">
        <w:rPr>
          <w:sz w:val="22"/>
          <w:szCs w:val="22"/>
        </w:rPr>
        <w:t xml:space="preserve"> i potencijalnih korisnika koji imaju potrebu za takvom vrstom podrške.</w:t>
      </w:r>
    </w:p>
    <w:p w:rsidR="00C00F2A" w:rsidRPr="00D32E1B" w:rsidRDefault="00C00F2A" w:rsidP="007133BF">
      <w:pPr>
        <w:jc w:val="both"/>
        <w:rPr>
          <w:sz w:val="12"/>
          <w:szCs w:val="22"/>
        </w:rPr>
      </w:pPr>
    </w:p>
    <w:p w:rsidR="00E80159" w:rsidRPr="00C00F2A" w:rsidRDefault="00E80159" w:rsidP="00E80159">
      <w:pPr>
        <w:pStyle w:val="Heading3"/>
      </w:pPr>
      <w:bookmarkStart w:id="8" w:name="_Toc473540816"/>
      <w:r w:rsidRPr="00C00F2A">
        <w:t>Mentalno zdravlje u zajednici</w:t>
      </w:r>
      <w:bookmarkEnd w:id="8"/>
    </w:p>
    <w:p w:rsidR="00E80159" w:rsidRPr="00C00F2A" w:rsidRDefault="00E80159" w:rsidP="007133BF">
      <w:pPr>
        <w:jc w:val="both"/>
        <w:rPr>
          <w:sz w:val="22"/>
          <w:szCs w:val="22"/>
        </w:rPr>
      </w:pPr>
      <w:r w:rsidRPr="00C00F2A">
        <w:rPr>
          <w:sz w:val="22"/>
          <w:szCs w:val="22"/>
        </w:rPr>
        <w:t>Koncept zaštite mentalnog zdravlja u zajednici povezan je pokretom sa zaštitu prava mentalno obol</w:t>
      </w:r>
      <w:r w:rsidR="00BA45A6" w:rsidRPr="00C00F2A">
        <w:rPr>
          <w:sz w:val="22"/>
          <w:szCs w:val="22"/>
        </w:rPr>
        <w:t>j</w:t>
      </w:r>
      <w:r w:rsidRPr="00C00F2A">
        <w:rPr>
          <w:sz w:val="22"/>
          <w:szCs w:val="22"/>
        </w:rPr>
        <w:t>elih osoba i procesom deinstitucionalizacije u psihijatriji i podrazum</w:t>
      </w:r>
      <w:r w:rsidR="00BA45A6" w:rsidRPr="00C00F2A">
        <w:rPr>
          <w:sz w:val="22"/>
          <w:szCs w:val="22"/>
        </w:rPr>
        <w:t>ij</w:t>
      </w:r>
      <w:r w:rsidRPr="00C00F2A">
        <w:rPr>
          <w:sz w:val="22"/>
          <w:szCs w:val="22"/>
        </w:rPr>
        <w:t xml:space="preserve">eva </w:t>
      </w:r>
      <w:r w:rsidRPr="00625B9B">
        <w:rPr>
          <w:sz w:val="22"/>
          <w:szCs w:val="22"/>
        </w:rPr>
        <w:t>razvoj službi za mentalno zdravlje koje treba da obezb</w:t>
      </w:r>
      <w:r w:rsidR="00BA45A6" w:rsidRPr="00625B9B">
        <w:rPr>
          <w:sz w:val="22"/>
          <w:szCs w:val="22"/>
        </w:rPr>
        <w:t>ij</w:t>
      </w:r>
      <w:r w:rsidRPr="00625B9B">
        <w:rPr>
          <w:sz w:val="22"/>
          <w:szCs w:val="22"/>
        </w:rPr>
        <w:t>ede sveobuhvatno l</w:t>
      </w:r>
      <w:r w:rsidR="00BA45A6" w:rsidRPr="00625B9B">
        <w:rPr>
          <w:sz w:val="22"/>
          <w:szCs w:val="22"/>
        </w:rPr>
        <w:t>ij</w:t>
      </w:r>
      <w:r w:rsidRPr="00625B9B">
        <w:rPr>
          <w:sz w:val="22"/>
          <w:szCs w:val="22"/>
        </w:rPr>
        <w:t>ečenje i zaštitu pacijentima u sredini u kojoj oni žive</w:t>
      </w:r>
      <w:r w:rsidRPr="00C00F2A">
        <w:rPr>
          <w:sz w:val="22"/>
          <w:szCs w:val="22"/>
        </w:rPr>
        <w:t>, koje bi bile lako dostupne pacijentima i njihovim porodicama</w:t>
      </w:r>
      <w:r w:rsidR="006D2293" w:rsidRPr="00C00F2A">
        <w:rPr>
          <w:sz w:val="22"/>
          <w:szCs w:val="22"/>
        </w:rPr>
        <w:t>. Sveobuhvatnost ovih službi ogleda se i u obezb</w:t>
      </w:r>
      <w:r w:rsidR="00BA45A6" w:rsidRPr="00C00F2A">
        <w:rPr>
          <w:sz w:val="22"/>
          <w:szCs w:val="22"/>
        </w:rPr>
        <w:t>j</w:t>
      </w:r>
      <w:r w:rsidR="006D2293" w:rsidRPr="00C00F2A">
        <w:rPr>
          <w:sz w:val="22"/>
          <w:szCs w:val="22"/>
        </w:rPr>
        <w:t>eđivanju spektra uslova koji će zadovoljiti mentalno-zdravstvene potrebe populacije u c</w:t>
      </w:r>
      <w:r w:rsidR="00BA45A6" w:rsidRPr="00C00F2A">
        <w:rPr>
          <w:sz w:val="22"/>
          <w:szCs w:val="22"/>
        </w:rPr>
        <w:t>j</w:t>
      </w:r>
      <w:r w:rsidR="006D2293" w:rsidRPr="00C00F2A">
        <w:rPr>
          <w:sz w:val="22"/>
          <w:szCs w:val="22"/>
        </w:rPr>
        <w:t>elini, kao i specifičnih grupa.</w:t>
      </w:r>
      <w:r w:rsidR="006D2293" w:rsidRPr="00C00F2A">
        <w:rPr>
          <w:rStyle w:val="FootnoteReference"/>
          <w:sz w:val="22"/>
          <w:szCs w:val="22"/>
        </w:rPr>
        <w:t xml:space="preserve"> </w:t>
      </w:r>
      <w:r w:rsidR="006D2293" w:rsidRPr="00C00F2A">
        <w:rPr>
          <w:sz w:val="22"/>
          <w:szCs w:val="22"/>
        </w:rPr>
        <w:t>Zaštita mentalnog zdravlja u zajednici trebalo bi da r</w:t>
      </w:r>
      <w:r w:rsidR="00BA45A6" w:rsidRPr="00C00F2A">
        <w:rPr>
          <w:sz w:val="22"/>
          <w:szCs w:val="22"/>
        </w:rPr>
        <w:t>ij</w:t>
      </w:r>
      <w:r w:rsidR="006D2293" w:rsidRPr="00C00F2A">
        <w:rPr>
          <w:sz w:val="22"/>
          <w:szCs w:val="22"/>
        </w:rPr>
        <w:t xml:space="preserve">eši problem isključivanja iz društva dugotrajno hospitalizovanih osoba sa težim mentalnim poremećajima, odnosno da ponudi </w:t>
      </w:r>
      <w:r w:rsidR="006D2293" w:rsidRPr="00C00F2A">
        <w:rPr>
          <w:sz w:val="22"/>
          <w:szCs w:val="22"/>
        </w:rPr>
        <w:lastRenderedPageBreak/>
        <w:t>alternativu hospitalizaciji u psihijatrijskim bolnicama ili sm</w:t>
      </w:r>
      <w:r w:rsidR="00BA45A6" w:rsidRPr="00C00F2A">
        <w:rPr>
          <w:sz w:val="22"/>
          <w:szCs w:val="22"/>
        </w:rPr>
        <w:t>j</w:t>
      </w:r>
      <w:r w:rsidR="006D2293" w:rsidRPr="00C00F2A">
        <w:rPr>
          <w:sz w:val="22"/>
          <w:szCs w:val="22"/>
        </w:rPr>
        <w:t>eštaju pacijenata sa ozbiljnim hroničnim oboljenjima u azilarne socijalne institucije</w:t>
      </w:r>
      <w:r w:rsidRPr="00C00F2A">
        <w:rPr>
          <w:sz w:val="22"/>
          <w:szCs w:val="22"/>
        </w:rPr>
        <w:t>.</w:t>
      </w:r>
      <w:r w:rsidR="00090913" w:rsidRPr="00C00F2A">
        <w:rPr>
          <w:rStyle w:val="FootnoteReference"/>
          <w:sz w:val="22"/>
          <w:szCs w:val="22"/>
        </w:rPr>
        <w:footnoteReference w:id="4"/>
      </w:r>
      <w:r w:rsidRPr="00C00F2A">
        <w:rPr>
          <w:sz w:val="22"/>
          <w:szCs w:val="22"/>
        </w:rPr>
        <w:t xml:space="preserve"> </w:t>
      </w:r>
    </w:p>
    <w:p w:rsidR="00E80159" w:rsidRPr="00C00F2A" w:rsidRDefault="00E80159" w:rsidP="007133BF">
      <w:pPr>
        <w:jc w:val="both"/>
        <w:rPr>
          <w:sz w:val="22"/>
          <w:szCs w:val="22"/>
        </w:rPr>
      </w:pPr>
      <w:r w:rsidRPr="00C00F2A">
        <w:rPr>
          <w:sz w:val="22"/>
          <w:szCs w:val="22"/>
        </w:rPr>
        <w:t>Zaštita mentalnog zdravlja u zajednici zasniva se na principima koji su povezani sa potpuno drugačijim pristupom psihijatrijskom pacijentu u odnosu na institucionalni tretman, usredsređujući se na ličnost osobe sa mentalnim poremećajem i na različite specifične okolnosti koje mogu uticati na izradu plana dugotrajnog l</w:t>
      </w:r>
      <w:r w:rsidR="00776B6B" w:rsidRPr="00C00F2A">
        <w:rPr>
          <w:sz w:val="22"/>
          <w:szCs w:val="22"/>
        </w:rPr>
        <w:t>ij</w:t>
      </w:r>
      <w:r w:rsidRPr="00C00F2A">
        <w:rPr>
          <w:sz w:val="22"/>
          <w:szCs w:val="22"/>
        </w:rPr>
        <w:t>ečenja i zbrinjavanja te osobe.</w:t>
      </w:r>
    </w:p>
    <w:p w:rsidR="001B7A64" w:rsidRPr="00D32E1B" w:rsidRDefault="001B7A64" w:rsidP="00E80159">
      <w:pPr>
        <w:rPr>
          <w:sz w:val="12"/>
          <w:szCs w:val="22"/>
        </w:rPr>
      </w:pPr>
    </w:p>
    <w:p w:rsidR="005A6314" w:rsidRPr="00C00F2A" w:rsidRDefault="005A6314" w:rsidP="005A6314">
      <w:pPr>
        <w:pStyle w:val="Heading3"/>
      </w:pPr>
      <w:bookmarkStart w:id="9" w:name="_Toc473540817"/>
      <w:r w:rsidRPr="00C00F2A">
        <w:t>Usluge u zajednici</w:t>
      </w:r>
      <w:bookmarkEnd w:id="9"/>
    </w:p>
    <w:p w:rsidR="005A6314" w:rsidRPr="00C00F2A" w:rsidRDefault="005A6314" w:rsidP="007133BF">
      <w:pPr>
        <w:jc w:val="both"/>
        <w:rPr>
          <w:sz w:val="22"/>
          <w:szCs w:val="22"/>
        </w:rPr>
      </w:pPr>
      <w:r w:rsidRPr="00C00F2A">
        <w:rPr>
          <w:sz w:val="22"/>
          <w:szCs w:val="22"/>
        </w:rPr>
        <w:t>Ovaj izraz odnosi se na sve one usluge koje se pružaju pojedincima kako bi im se omogućilo zadovoljavanje svih potreba u zajednici u kojoj žive. Ovaj izraz obuhvata najpr</w:t>
      </w:r>
      <w:r w:rsidR="00776B6B" w:rsidRPr="00C00F2A">
        <w:rPr>
          <w:sz w:val="22"/>
          <w:szCs w:val="22"/>
        </w:rPr>
        <w:t>ij</w:t>
      </w:r>
      <w:r w:rsidRPr="00C00F2A">
        <w:rPr>
          <w:sz w:val="22"/>
          <w:szCs w:val="22"/>
        </w:rPr>
        <w:t>e opšte usluge: stanovanje, zdravstvenu zaštitu, obrazovanje, zapošljavanje, kulturu i rekreaciju, odnosno, sve one usluge koje bi trebalo da budu dostupne svima, bez obzira na invaliditet ili potrebu za podrškom. Ovaj izraz se odnosi i na specijalizovane usluge, poput personalne asistencije, stanovanja uz podršku, privremene n</w:t>
      </w:r>
      <w:r w:rsidR="00DC4952" w:rsidRPr="00C00F2A">
        <w:rPr>
          <w:sz w:val="22"/>
          <w:szCs w:val="22"/>
        </w:rPr>
        <w:t>j</w:t>
      </w:r>
      <w:r w:rsidRPr="00C00F2A">
        <w:rPr>
          <w:sz w:val="22"/>
          <w:szCs w:val="22"/>
        </w:rPr>
        <w:t>ege i druge usluge koje odgovaraju na specifične potrebe osobe u odnosu na vrstu ili stepen poteškoća, ali i na specifične životne okolnosti u kojima se ta osoba nalazi.</w:t>
      </w:r>
    </w:p>
    <w:p w:rsidR="005A6314" w:rsidRPr="00C00F2A" w:rsidRDefault="001215A3" w:rsidP="007133BF">
      <w:pPr>
        <w:jc w:val="both"/>
        <w:rPr>
          <w:sz w:val="22"/>
          <w:szCs w:val="22"/>
        </w:rPr>
      </w:pPr>
      <w:r w:rsidRPr="00C00F2A">
        <w:rPr>
          <w:sz w:val="22"/>
          <w:szCs w:val="22"/>
        </w:rPr>
        <w:t>Usluge koje se pružaju u zajednici uključuju, između ostalog, profesionalnu rehabilitaciju, zapošljavanje uz podršku, brigu u porodici, psihijatrij</w:t>
      </w:r>
      <w:r w:rsidR="00F07737" w:rsidRPr="00C00F2A">
        <w:rPr>
          <w:sz w:val="22"/>
          <w:szCs w:val="22"/>
        </w:rPr>
        <w:t>s</w:t>
      </w:r>
      <w:r w:rsidRPr="00C00F2A">
        <w:rPr>
          <w:sz w:val="22"/>
          <w:szCs w:val="22"/>
        </w:rPr>
        <w:t>ke postelje van specijalnih bolnica (na prim</w:t>
      </w:r>
      <w:r w:rsidR="00DC4952" w:rsidRPr="00C00F2A">
        <w:rPr>
          <w:sz w:val="22"/>
          <w:szCs w:val="22"/>
        </w:rPr>
        <w:t>j</w:t>
      </w:r>
      <w:r w:rsidRPr="00C00F2A">
        <w:rPr>
          <w:sz w:val="22"/>
          <w:szCs w:val="22"/>
        </w:rPr>
        <w:t>er, u op</w:t>
      </w:r>
      <w:r w:rsidR="00DC4952" w:rsidRPr="00C00F2A">
        <w:rPr>
          <w:sz w:val="22"/>
          <w:szCs w:val="22"/>
        </w:rPr>
        <w:t>š</w:t>
      </w:r>
      <w:r w:rsidRPr="00C00F2A">
        <w:rPr>
          <w:sz w:val="22"/>
          <w:szCs w:val="22"/>
        </w:rPr>
        <w:t>tim bolnicama), dnevne aktivnosti, usluge stanovanja u zajednici, mobilne klinike, terenske službe,</w:t>
      </w:r>
      <w:r w:rsidR="00A44A96" w:rsidRPr="00C00F2A">
        <w:rPr>
          <w:sz w:val="22"/>
          <w:szCs w:val="22"/>
        </w:rPr>
        <w:t xml:space="preserve"> tele</w:t>
      </w:r>
      <w:r w:rsidR="009F1BF5" w:rsidRPr="00C00F2A">
        <w:rPr>
          <w:sz w:val="22"/>
          <w:szCs w:val="22"/>
        </w:rPr>
        <w:t>f</w:t>
      </w:r>
      <w:r w:rsidR="00A44A96" w:rsidRPr="00C00F2A">
        <w:rPr>
          <w:sz w:val="22"/>
          <w:szCs w:val="22"/>
        </w:rPr>
        <w:t>onske linije za krizne situacije,</w:t>
      </w:r>
      <w:r w:rsidRPr="00C00F2A">
        <w:rPr>
          <w:sz w:val="22"/>
          <w:szCs w:val="22"/>
        </w:rPr>
        <w:t xml:space="preserve"> </w:t>
      </w:r>
      <w:r w:rsidR="00A44A96" w:rsidRPr="00C00F2A">
        <w:rPr>
          <w:sz w:val="22"/>
          <w:szCs w:val="22"/>
        </w:rPr>
        <w:t xml:space="preserve">grupe samopomoći i korisnička udruženja. </w:t>
      </w:r>
    </w:p>
    <w:p w:rsidR="009F1BF5" w:rsidRPr="00D32E1B" w:rsidRDefault="009F1BF5" w:rsidP="00483C07">
      <w:pPr>
        <w:rPr>
          <w:sz w:val="12"/>
          <w:szCs w:val="22"/>
        </w:rPr>
      </w:pPr>
    </w:p>
    <w:p w:rsidR="009F1BF5" w:rsidRPr="00C00F2A" w:rsidRDefault="009F1BF5" w:rsidP="009F1BF5">
      <w:pPr>
        <w:pStyle w:val="Heading3"/>
      </w:pPr>
      <w:bookmarkStart w:id="10" w:name="_Toc473540818"/>
      <w:r w:rsidRPr="00C00F2A">
        <w:t>Službe za mentalno zdravlje u zajednici</w:t>
      </w:r>
      <w:bookmarkEnd w:id="10"/>
    </w:p>
    <w:p w:rsidR="009F1BF5" w:rsidRPr="00C00F2A" w:rsidRDefault="009F1BF5" w:rsidP="00CB020D">
      <w:pPr>
        <w:jc w:val="both"/>
        <w:rPr>
          <w:sz w:val="22"/>
          <w:szCs w:val="22"/>
        </w:rPr>
      </w:pPr>
      <w:r w:rsidRPr="00C00F2A">
        <w:rPr>
          <w:sz w:val="22"/>
          <w:szCs w:val="22"/>
        </w:rPr>
        <w:t>Službe (centri) za mentalno zdravlje u zajednici predstavljaju stub sistema zaštite mentalnog zdravlja. One podrazum</w:t>
      </w:r>
      <w:r w:rsidR="00476708" w:rsidRPr="00C00F2A">
        <w:rPr>
          <w:sz w:val="22"/>
          <w:szCs w:val="22"/>
        </w:rPr>
        <w:t>ij</w:t>
      </w:r>
      <w:r w:rsidRPr="00C00F2A">
        <w:rPr>
          <w:sz w:val="22"/>
          <w:szCs w:val="22"/>
        </w:rPr>
        <w:t>evaju metodologiju voditelja slučaja, terenske timove za pružanje podrške i l</w:t>
      </w:r>
      <w:r w:rsidR="00476708" w:rsidRPr="00C00F2A">
        <w:rPr>
          <w:sz w:val="22"/>
          <w:szCs w:val="22"/>
        </w:rPr>
        <w:t>ij</w:t>
      </w:r>
      <w:r w:rsidRPr="00C00F2A">
        <w:rPr>
          <w:sz w:val="22"/>
          <w:szCs w:val="22"/>
        </w:rPr>
        <w:t>ečenje, kućnu n</w:t>
      </w:r>
      <w:r w:rsidR="00476708" w:rsidRPr="00C00F2A">
        <w:rPr>
          <w:sz w:val="22"/>
          <w:szCs w:val="22"/>
        </w:rPr>
        <w:t>j</w:t>
      </w:r>
      <w:r w:rsidRPr="00C00F2A">
        <w:rPr>
          <w:sz w:val="22"/>
          <w:szCs w:val="22"/>
        </w:rPr>
        <w:t>egu i l</w:t>
      </w:r>
      <w:r w:rsidR="00476708" w:rsidRPr="00C00F2A">
        <w:rPr>
          <w:sz w:val="22"/>
          <w:szCs w:val="22"/>
        </w:rPr>
        <w:t>ij</w:t>
      </w:r>
      <w:r w:rsidRPr="00C00F2A">
        <w:rPr>
          <w:sz w:val="22"/>
          <w:szCs w:val="22"/>
        </w:rPr>
        <w:t>ečenje, rehabilitaciju, reagovanje</w:t>
      </w:r>
      <w:r w:rsidR="00C60CA0" w:rsidRPr="00C00F2A">
        <w:rPr>
          <w:sz w:val="22"/>
          <w:szCs w:val="22"/>
        </w:rPr>
        <w:t xml:space="preserve"> u kriznim situacijama, hostele kao alternativu bolničkom sm</w:t>
      </w:r>
      <w:r w:rsidR="00476708" w:rsidRPr="00C00F2A">
        <w:rPr>
          <w:sz w:val="22"/>
          <w:szCs w:val="22"/>
        </w:rPr>
        <w:t>j</w:t>
      </w:r>
      <w:r w:rsidR="00C60CA0" w:rsidRPr="00C00F2A">
        <w:rPr>
          <w:sz w:val="22"/>
          <w:szCs w:val="22"/>
        </w:rPr>
        <w:t>eštaju i druge usluge. Van-bolničke klinike mogu imati trijažnu funkciju, vršeći proc</w:t>
      </w:r>
      <w:r w:rsidR="00476708" w:rsidRPr="00C00F2A">
        <w:rPr>
          <w:sz w:val="22"/>
          <w:szCs w:val="22"/>
        </w:rPr>
        <w:t>j</w:t>
      </w:r>
      <w:r w:rsidR="00C60CA0" w:rsidRPr="00C00F2A">
        <w:rPr>
          <w:sz w:val="22"/>
          <w:szCs w:val="22"/>
        </w:rPr>
        <w:t>enu stanja, upućujući pacijenta gd</w:t>
      </w:r>
      <w:r w:rsidR="00476708" w:rsidRPr="00C00F2A">
        <w:rPr>
          <w:sz w:val="22"/>
          <w:szCs w:val="22"/>
        </w:rPr>
        <w:t>j</w:t>
      </w:r>
      <w:r w:rsidR="00C60CA0" w:rsidRPr="00C00F2A">
        <w:rPr>
          <w:sz w:val="22"/>
          <w:szCs w:val="22"/>
        </w:rPr>
        <w:t xml:space="preserve">e je to potrebno i funkciju praćenja stanja pacijenta. </w:t>
      </w:r>
    </w:p>
    <w:p w:rsidR="00C60CA0" w:rsidRPr="00C00F2A" w:rsidRDefault="00C60CA0" w:rsidP="00CB020D">
      <w:pPr>
        <w:jc w:val="both"/>
        <w:rPr>
          <w:sz w:val="22"/>
          <w:szCs w:val="22"/>
        </w:rPr>
      </w:pPr>
      <w:r w:rsidRPr="00C00F2A">
        <w:rPr>
          <w:sz w:val="22"/>
          <w:szCs w:val="22"/>
        </w:rPr>
        <w:t>Bolnički tretman u formi službe za hitnu psihijatri</w:t>
      </w:r>
      <w:r w:rsidR="00625B9B">
        <w:rPr>
          <w:sz w:val="22"/>
          <w:szCs w:val="22"/>
        </w:rPr>
        <w:t>j</w:t>
      </w:r>
      <w:r w:rsidRPr="00C00F2A">
        <w:rPr>
          <w:sz w:val="22"/>
          <w:szCs w:val="22"/>
        </w:rPr>
        <w:t xml:space="preserve">sku intervenciju ili kratkotrajnu hospitalizaciju, služi da </w:t>
      </w:r>
      <w:r w:rsidR="00625B9B">
        <w:rPr>
          <w:sz w:val="22"/>
          <w:szCs w:val="22"/>
        </w:rPr>
        <w:t>spriječi</w:t>
      </w:r>
      <w:r w:rsidRPr="00C00F2A">
        <w:rPr>
          <w:sz w:val="22"/>
          <w:szCs w:val="22"/>
        </w:rPr>
        <w:t xml:space="preserve"> dugotrajnu institucionalizaciju. Bolničko l</w:t>
      </w:r>
      <w:r w:rsidR="00234ECF" w:rsidRPr="00C00F2A">
        <w:rPr>
          <w:sz w:val="22"/>
          <w:szCs w:val="22"/>
        </w:rPr>
        <w:t>ij</w:t>
      </w:r>
      <w:r w:rsidRPr="00C00F2A">
        <w:rPr>
          <w:sz w:val="22"/>
          <w:szCs w:val="22"/>
        </w:rPr>
        <w:t>ečenje pruža intenzivan tretman i praćenje tokom akutnih epizoda</w:t>
      </w:r>
      <w:r w:rsidR="00A6362E" w:rsidRPr="00C00F2A">
        <w:rPr>
          <w:sz w:val="22"/>
          <w:szCs w:val="22"/>
        </w:rPr>
        <w:t>, čime se omogućava dalje l</w:t>
      </w:r>
      <w:r w:rsidR="0057497D" w:rsidRPr="00C00F2A">
        <w:rPr>
          <w:sz w:val="22"/>
          <w:szCs w:val="22"/>
        </w:rPr>
        <w:t>ij</w:t>
      </w:r>
      <w:r w:rsidR="00A6362E" w:rsidRPr="00C00F2A">
        <w:rPr>
          <w:sz w:val="22"/>
          <w:szCs w:val="22"/>
        </w:rPr>
        <w:t>ečenje i podrška u manje restriktivnom okruženju između epizoda.</w:t>
      </w:r>
    </w:p>
    <w:p w:rsidR="009F1BF5" w:rsidRPr="00C00F2A" w:rsidRDefault="009F1BF5" w:rsidP="00483C07">
      <w:pPr>
        <w:rPr>
          <w:sz w:val="22"/>
          <w:szCs w:val="22"/>
        </w:rPr>
      </w:pPr>
    </w:p>
    <w:p w:rsidR="005A6314" w:rsidRPr="00C00F2A" w:rsidRDefault="005A6314" w:rsidP="005A6314">
      <w:pPr>
        <w:pStyle w:val="Heading3"/>
      </w:pPr>
      <w:bookmarkStart w:id="11" w:name="_Toc473540819"/>
      <w:r w:rsidRPr="00C00F2A">
        <w:lastRenderedPageBreak/>
        <w:t>Samostalno stanovanje</w:t>
      </w:r>
      <w:bookmarkEnd w:id="11"/>
    </w:p>
    <w:p w:rsidR="005A6314" w:rsidRPr="00C00F2A" w:rsidRDefault="005A6314" w:rsidP="00CB020D">
      <w:pPr>
        <w:jc w:val="both"/>
        <w:rPr>
          <w:sz w:val="22"/>
          <w:szCs w:val="22"/>
        </w:rPr>
      </w:pPr>
      <w:r w:rsidRPr="00C00F2A">
        <w:rPr>
          <w:sz w:val="22"/>
          <w:szCs w:val="22"/>
        </w:rPr>
        <w:t>Izraz</w:t>
      </w:r>
      <w:r w:rsidR="00F07737" w:rsidRPr="00C00F2A">
        <w:rPr>
          <w:sz w:val="22"/>
          <w:szCs w:val="22"/>
        </w:rPr>
        <w:t>i</w:t>
      </w:r>
      <w:r w:rsidRPr="00C00F2A">
        <w:rPr>
          <w:sz w:val="22"/>
          <w:szCs w:val="22"/>
        </w:rPr>
        <w:t xml:space="preserve"> „s</w:t>
      </w:r>
      <w:r w:rsidR="00A6362E" w:rsidRPr="00C00F2A">
        <w:rPr>
          <w:sz w:val="22"/>
          <w:szCs w:val="22"/>
        </w:rPr>
        <w:t>amostalno stanovanje“,</w:t>
      </w:r>
      <w:r w:rsidRPr="00C00F2A">
        <w:rPr>
          <w:sz w:val="22"/>
          <w:szCs w:val="22"/>
        </w:rPr>
        <w:t xml:space="preserve"> „stanovanje uz podršku“</w:t>
      </w:r>
      <w:r w:rsidR="00A6362E" w:rsidRPr="00C00F2A">
        <w:rPr>
          <w:sz w:val="22"/>
          <w:szCs w:val="22"/>
        </w:rPr>
        <w:t xml:space="preserve"> ili „zaštićen</w:t>
      </w:r>
      <w:r w:rsidR="00F07737" w:rsidRPr="00C00F2A">
        <w:rPr>
          <w:sz w:val="22"/>
          <w:szCs w:val="22"/>
        </w:rPr>
        <w:t>o</w:t>
      </w:r>
      <w:r w:rsidR="00A6362E" w:rsidRPr="00C00F2A">
        <w:rPr>
          <w:sz w:val="22"/>
          <w:szCs w:val="22"/>
        </w:rPr>
        <w:t xml:space="preserve"> stanovanje“</w:t>
      </w:r>
      <w:r w:rsidRPr="00C00F2A">
        <w:rPr>
          <w:sz w:val="22"/>
          <w:szCs w:val="22"/>
        </w:rPr>
        <w:t xml:space="preserve"> često se korist</w:t>
      </w:r>
      <w:r w:rsidR="00A6362E" w:rsidRPr="00C00F2A">
        <w:rPr>
          <w:sz w:val="22"/>
          <w:szCs w:val="22"/>
        </w:rPr>
        <w:t>e</w:t>
      </w:r>
      <w:r w:rsidRPr="00C00F2A">
        <w:rPr>
          <w:sz w:val="22"/>
          <w:szCs w:val="22"/>
        </w:rPr>
        <w:t xml:space="preserve"> </w:t>
      </w:r>
      <w:r w:rsidR="00F07737" w:rsidRPr="00C00F2A">
        <w:rPr>
          <w:sz w:val="22"/>
          <w:szCs w:val="22"/>
        </w:rPr>
        <w:t>da označe uslugu kojom se pruža podrška za što samostalniji život u zajednici</w:t>
      </w:r>
      <w:r w:rsidRPr="00C00F2A">
        <w:rPr>
          <w:sz w:val="22"/>
          <w:szCs w:val="22"/>
        </w:rPr>
        <w:t>. On ne podrazum</w:t>
      </w:r>
      <w:r w:rsidR="00234ECF" w:rsidRPr="00C00F2A">
        <w:rPr>
          <w:sz w:val="22"/>
          <w:szCs w:val="22"/>
        </w:rPr>
        <w:t>ij</w:t>
      </w:r>
      <w:r w:rsidRPr="00C00F2A">
        <w:rPr>
          <w:sz w:val="22"/>
          <w:szCs w:val="22"/>
        </w:rPr>
        <w:t>eva da osoba živi potpuno sama, bez ikakve podrške, već podrazum</w:t>
      </w:r>
      <w:r w:rsidR="00234ECF" w:rsidRPr="00C00F2A">
        <w:rPr>
          <w:sz w:val="22"/>
          <w:szCs w:val="22"/>
        </w:rPr>
        <w:t>ij</w:t>
      </w:r>
      <w:r w:rsidRPr="00C00F2A">
        <w:rPr>
          <w:sz w:val="22"/>
          <w:szCs w:val="22"/>
        </w:rPr>
        <w:t>eva da ljudi mogu da biraju i odluče o tome gd</w:t>
      </w:r>
      <w:r w:rsidR="00234ECF" w:rsidRPr="00C00F2A">
        <w:rPr>
          <w:sz w:val="22"/>
          <w:szCs w:val="22"/>
        </w:rPr>
        <w:t>j</w:t>
      </w:r>
      <w:r w:rsidRPr="00C00F2A">
        <w:rPr>
          <w:sz w:val="22"/>
          <w:szCs w:val="22"/>
        </w:rPr>
        <w:t>e će i sa kim živ</w:t>
      </w:r>
      <w:r w:rsidR="00234ECF" w:rsidRPr="00C00F2A">
        <w:rPr>
          <w:sz w:val="22"/>
          <w:szCs w:val="22"/>
        </w:rPr>
        <w:t>j</w:t>
      </w:r>
      <w:r w:rsidRPr="00C00F2A">
        <w:rPr>
          <w:sz w:val="22"/>
          <w:szCs w:val="22"/>
        </w:rPr>
        <w:t>eti, kako će organizovati svoj svakodnevni život i kakva im je podrška potrebna u održanju ili unapređenju kvaliteta njihovog života.</w:t>
      </w:r>
    </w:p>
    <w:p w:rsidR="005A6314" w:rsidRDefault="005A6314" w:rsidP="00CB020D">
      <w:pPr>
        <w:jc w:val="both"/>
        <w:rPr>
          <w:sz w:val="22"/>
          <w:szCs w:val="22"/>
        </w:rPr>
      </w:pPr>
      <w:r w:rsidRPr="00C00F2A">
        <w:rPr>
          <w:sz w:val="22"/>
          <w:szCs w:val="22"/>
        </w:rPr>
        <w:t>Ova usluga može se pružati osobi u njenom sopstvenom stanu ili uz obezb</w:t>
      </w:r>
      <w:r w:rsidR="00C076CA" w:rsidRPr="00C00F2A">
        <w:rPr>
          <w:sz w:val="22"/>
          <w:szCs w:val="22"/>
        </w:rPr>
        <w:t>j</w:t>
      </w:r>
      <w:r w:rsidRPr="00C00F2A">
        <w:rPr>
          <w:sz w:val="22"/>
          <w:szCs w:val="22"/>
        </w:rPr>
        <w:t>eđivanje prostora za individualno ili grupno stanovanje. U slučaju grupnog stanovanja, ono bi moralo biti slično porodičnom okruženju (ne više od 5 osoba po stambenoj jedinici) i ne bi sm</w:t>
      </w:r>
      <w:r w:rsidR="00C076CA" w:rsidRPr="00C00F2A">
        <w:rPr>
          <w:sz w:val="22"/>
          <w:szCs w:val="22"/>
        </w:rPr>
        <w:t>j</w:t>
      </w:r>
      <w:r w:rsidRPr="00C00F2A">
        <w:rPr>
          <w:sz w:val="22"/>
          <w:szCs w:val="22"/>
        </w:rPr>
        <w:t>elo imati odlike organizacije života u instituciji. Ove stambene jedinice moraju se nalaziti u običnom naselju. Takođe, mora se izb</w:t>
      </w:r>
      <w:r w:rsidR="00005008" w:rsidRPr="00C00F2A">
        <w:rPr>
          <w:sz w:val="22"/>
          <w:szCs w:val="22"/>
        </w:rPr>
        <w:t>j</w:t>
      </w:r>
      <w:r w:rsidRPr="00C00F2A">
        <w:rPr>
          <w:sz w:val="22"/>
          <w:szCs w:val="22"/>
        </w:rPr>
        <w:t>egavati njihovo grupisanje kako ne bi došlo do segregacije.</w:t>
      </w:r>
    </w:p>
    <w:p w:rsidR="00D32E1B" w:rsidRDefault="00D32E1B" w:rsidP="00CB020D">
      <w:pPr>
        <w:jc w:val="both"/>
        <w:rPr>
          <w:sz w:val="28"/>
          <w:szCs w:val="22"/>
        </w:rPr>
      </w:pPr>
    </w:p>
    <w:p w:rsidR="00E00D1D" w:rsidRDefault="00E00D1D" w:rsidP="00CB020D">
      <w:pPr>
        <w:jc w:val="both"/>
        <w:rPr>
          <w:sz w:val="28"/>
          <w:szCs w:val="22"/>
        </w:rPr>
      </w:pPr>
    </w:p>
    <w:p w:rsidR="00E00D1D" w:rsidRDefault="00E00D1D" w:rsidP="00CB020D">
      <w:pPr>
        <w:jc w:val="both"/>
        <w:rPr>
          <w:sz w:val="28"/>
          <w:szCs w:val="22"/>
        </w:rPr>
      </w:pPr>
    </w:p>
    <w:p w:rsidR="00E00D1D" w:rsidRDefault="00E00D1D" w:rsidP="00CB020D">
      <w:pPr>
        <w:jc w:val="both"/>
        <w:rPr>
          <w:sz w:val="28"/>
          <w:szCs w:val="22"/>
        </w:rPr>
      </w:pPr>
    </w:p>
    <w:p w:rsidR="00E00D1D" w:rsidRDefault="00E00D1D" w:rsidP="00CB020D">
      <w:pPr>
        <w:jc w:val="both"/>
        <w:rPr>
          <w:sz w:val="28"/>
          <w:szCs w:val="22"/>
        </w:rPr>
      </w:pPr>
    </w:p>
    <w:p w:rsidR="00E00D1D" w:rsidRDefault="00E00D1D" w:rsidP="00CB020D">
      <w:pPr>
        <w:jc w:val="both"/>
        <w:rPr>
          <w:sz w:val="28"/>
          <w:szCs w:val="22"/>
        </w:rPr>
      </w:pPr>
    </w:p>
    <w:p w:rsidR="00E00D1D" w:rsidRDefault="00E00D1D" w:rsidP="00CB020D">
      <w:pPr>
        <w:jc w:val="both"/>
        <w:rPr>
          <w:sz w:val="28"/>
          <w:szCs w:val="22"/>
        </w:rPr>
      </w:pPr>
    </w:p>
    <w:p w:rsidR="00E00D1D" w:rsidRDefault="00E00D1D" w:rsidP="00CB020D">
      <w:pPr>
        <w:jc w:val="both"/>
        <w:rPr>
          <w:sz w:val="28"/>
          <w:szCs w:val="22"/>
        </w:rPr>
      </w:pPr>
    </w:p>
    <w:p w:rsidR="00E00D1D" w:rsidRDefault="00E00D1D" w:rsidP="00CB020D">
      <w:pPr>
        <w:jc w:val="both"/>
        <w:rPr>
          <w:sz w:val="28"/>
          <w:szCs w:val="22"/>
        </w:rPr>
      </w:pPr>
    </w:p>
    <w:p w:rsidR="00E00D1D" w:rsidRDefault="00E00D1D" w:rsidP="00CB020D">
      <w:pPr>
        <w:jc w:val="both"/>
        <w:rPr>
          <w:sz w:val="28"/>
          <w:szCs w:val="22"/>
        </w:rPr>
      </w:pPr>
    </w:p>
    <w:p w:rsidR="00E00D1D" w:rsidRDefault="00E00D1D" w:rsidP="00CB020D">
      <w:pPr>
        <w:jc w:val="both"/>
        <w:rPr>
          <w:sz w:val="28"/>
          <w:szCs w:val="22"/>
        </w:rPr>
      </w:pPr>
    </w:p>
    <w:p w:rsidR="00E00D1D" w:rsidRDefault="00E00D1D" w:rsidP="00CB020D">
      <w:pPr>
        <w:jc w:val="both"/>
        <w:rPr>
          <w:sz w:val="28"/>
          <w:szCs w:val="22"/>
        </w:rPr>
      </w:pPr>
    </w:p>
    <w:p w:rsidR="00E00D1D" w:rsidRDefault="00E00D1D" w:rsidP="00CB020D">
      <w:pPr>
        <w:jc w:val="both"/>
        <w:rPr>
          <w:sz w:val="28"/>
          <w:szCs w:val="22"/>
        </w:rPr>
      </w:pPr>
    </w:p>
    <w:p w:rsidR="00E00D1D" w:rsidRDefault="00E00D1D" w:rsidP="00CB020D">
      <w:pPr>
        <w:jc w:val="both"/>
        <w:rPr>
          <w:sz w:val="28"/>
          <w:szCs w:val="22"/>
        </w:rPr>
      </w:pPr>
    </w:p>
    <w:p w:rsidR="00E00D1D" w:rsidRPr="00E00D1D" w:rsidRDefault="00E00D1D" w:rsidP="00CB020D">
      <w:pPr>
        <w:jc w:val="both"/>
        <w:rPr>
          <w:sz w:val="28"/>
          <w:szCs w:val="22"/>
        </w:rPr>
      </w:pPr>
    </w:p>
    <w:p w:rsidR="009C6683" w:rsidRPr="00C00F2A" w:rsidRDefault="009C6683" w:rsidP="009C6683">
      <w:pPr>
        <w:pStyle w:val="Heading2"/>
      </w:pPr>
      <w:bookmarkStart w:id="12" w:name="_Toc473540820"/>
      <w:r w:rsidRPr="00C00F2A">
        <w:lastRenderedPageBreak/>
        <w:t>Značaj procesa deinstitucionalizacije</w:t>
      </w:r>
      <w:bookmarkEnd w:id="12"/>
      <w:r w:rsidRPr="00C00F2A">
        <w:t xml:space="preserve"> </w:t>
      </w:r>
    </w:p>
    <w:p w:rsidR="00FF4AD7" w:rsidRPr="00B52F15" w:rsidRDefault="00FF4AD7" w:rsidP="009C6683">
      <w:pPr>
        <w:rPr>
          <w:sz w:val="18"/>
          <w:szCs w:val="22"/>
        </w:rPr>
      </w:pPr>
    </w:p>
    <w:p w:rsidR="001B7A64" w:rsidRPr="00C00F2A" w:rsidRDefault="001B7A64" w:rsidP="00CB020D">
      <w:pPr>
        <w:jc w:val="both"/>
        <w:rPr>
          <w:sz w:val="22"/>
          <w:szCs w:val="22"/>
        </w:rPr>
      </w:pPr>
      <w:r w:rsidRPr="00C00F2A">
        <w:rPr>
          <w:sz w:val="22"/>
          <w:szCs w:val="22"/>
        </w:rPr>
        <w:t>Trenutna praksa pokazuje</w:t>
      </w:r>
      <w:r w:rsidR="00B03E39" w:rsidRPr="00C00F2A">
        <w:rPr>
          <w:sz w:val="22"/>
          <w:szCs w:val="22"/>
        </w:rPr>
        <w:t xml:space="preserve"> da je </w:t>
      </w:r>
      <w:r w:rsidRPr="00C00F2A">
        <w:rPr>
          <w:sz w:val="22"/>
          <w:szCs w:val="22"/>
        </w:rPr>
        <w:t xml:space="preserve">u mnogim zemljama </w:t>
      </w:r>
      <w:r w:rsidR="00B03E39" w:rsidRPr="00C00F2A">
        <w:rPr>
          <w:sz w:val="22"/>
          <w:szCs w:val="22"/>
        </w:rPr>
        <w:t>institucionalno l</w:t>
      </w:r>
      <w:r w:rsidR="00C076CA" w:rsidRPr="00C00F2A">
        <w:rPr>
          <w:sz w:val="22"/>
          <w:szCs w:val="22"/>
        </w:rPr>
        <w:t>ij</w:t>
      </w:r>
      <w:r w:rsidR="00B03E39" w:rsidRPr="00C00F2A">
        <w:rPr>
          <w:sz w:val="22"/>
          <w:szCs w:val="22"/>
        </w:rPr>
        <w:t xml:space="preserve">ečenje </w:t>
      </w:r>
      <w:r w:rsidRPr="00C00F2A">
        <w:rPr>
          <w:sz w:val="22"/>
          <w:szCs w:val="22"/>
        </w:rPr>
        <w:t xml:space="preserve">i dalje </w:t>
      </w:r>
      <w:r w:rsidR="00B03E39" w:rsidRPr="00C00F2A">
        <w:rPr>
          <w:sz w:val="22"/>
          <w:szCs w:val="22"/>
        </w:rPr>
        <w:t>dominantan oblik tretmana osoba sa mentalnim oboljenjima, sa velikim brojem osoba koje dugi niz godina borave u instituciji zbog nedostatka alternativnih r</w:t>
      </w:r>
      <w:r w:rsidR="00C076CA" w:rsidRPr="00C00F2A">
        <w:rPr>
          <w:sz w:val="22"/>
          <w:szCs w:val="22"/>
        </w:rPr>
        <w:t>j</w:t>
      </w:r>
      <w:r w:rsidR="00B03E39" w:rsidRPr="00C00F2A">
        <w:rPr>
          <w:sz w:val="22"/>
          <w:szCs w:val="22"/>
        </w:rPr>
        <w:t xml:space="preserve">ešenja i podrške u zajednici. Ova situacija nije jedinstvena za Crnu Goru. </w:t>
      </w:r>
      <w:r w:rsidRPr="00C00F2A">
        <w:rPr>
          <w:sz w:val="22"/>
          <w:szCs w:val="22"/>
        </w:rPr>
        <w:t>Proc</w:t>
      </w:r>
      <w:r w:rsidR="00553326" w:rsidRPr="00C00F2A">
        <w:rPr>
          <w:sz w:val="22"/>
          <w:szCs w:val="22"/>
        </w:rPr>
        <w:t>j</w:t>
      </w:r>
      <w:r w:rsidRPr="00C00F2A">
        <w:rPr>
          <w:sz w:val="22"/>
          <w:szCs w:val="22"/>
        </w:rPr>
        <w:t>enjuje se da u Evropi oko 1,2 miliona d</w:t>
      </w:r>
      <w:r w:rsidR="00C076CA" w:rsidRPr="00C00F2A">
        <w:rPr>
          <w:sz w:val="22"/>
          <w:szCs w:val="22"/>
        </w:rPr>
        <w:t>j</w:t>
      </w:r>
      <w:r w:rsidRPr="00C00F2A">
        <w:rPr>
          <w:sz w:val="22"/>
          <w:szCs w:val="22"/>
        </w:rPr>
        <w:t>ece i odraslih osoba sa invaliditetom živi u ustanovama u 25 evropskih zemalja.</w:t>
      </w:r>
      <w:r w:rsidRPr="00C00F2A">
        <w:rPr>
          <w:rStyle w:val="FootnoteReference"/>
          <w:sz w:val="22"/>
          <w:szCs w:val="22"/>
        </w:rPr>
        <w:footnoteReference w:id="5"/>
      </w:r>
    </w:p>
    <w:p w:rsidR="00B03E39" w:rsidRPr="00C00F2A" w:rsidRDefault="00B03E39" w:rsidP="00CB020D">
      <w:pPr>
        <w:jc w:val="both"/>
        <w:rPr>
          <w:sz w:val="22"/>
          <w:szCs w:val="22"/>
        </w:rPr>
      </w:pPr>
      <w:r w:rsidRPr="00C00F2A">
        <w:rPr>
          <w:sz w:val="22"/>
          <w:szCs w:val="22"/>
        </w:rPr>
        <w:t>Institucionalno l</w:t>
      </w:r>
      <w:r w:rsidR="00C076CA" w:rsidRPr="00C00F2A">
        <w:rPr>
          <w:sz w:val="22"/>
          <w:szCs w:val="22"/>
        </w:rPr>
        <w:t>ij</w:t>
      </w:r>
      <w:r w:rsidRPr="00C00F2A">
        <w:rPr>
          <w:sz w:val="22"/>
          <w:szCs w:val="22"/>
        </w:rPr>
        <w:t xml:space="preserve">ečenje dugo je bilo smatrano za jedini adekvatan oblik brige o osobama sa mentalnim </w:t>
      </w:r>
      <w:r w:rsidR="009E42FF" w:rsidRPr="00C00F2A">
        <w:rPr>
          <w:sz w:val="22"/>
          <w:szCs w:val="22"/>
        </w:rPr>
        <w:t>smetnjam</w:t>
      </w:r>
      <w:r w:rsidRPr="00C00F2A">
        <w:rPr>
          <w:sz w:val="22"/>
          <w:szCs w:val="22"/>
        </w:rPr>
        <w:t>a</w:t>
      </w:r>
      <w:r w:rsidR="001B7A64" w:rsidRPr="00C00F2A">
        <w:rPr>
          <w:sz w:val="22"/>
          <w:szCs w:val="22"/>
        </w:rPr>
        <w:t>, ali je u</w:t>
      </w:r>
      <w:r w:rsidRPr="00C00F2A">
        <w:rPr>
          <w:sz w:val="22"/>
          <w:szCs w:val="22"/>
        </w:rPr>
        <w:t xml:space="preserve"> mnogim zemljama prepoznata potreba da se on zam</w:t>
      </w:r>
      <w:r w:rsidR="00C076CA" w:rsidRPr="00C00F2A">
        <w:rPr>
          <w:sz w:val="22"/>
          <w:szCs w:val="22"/>
        </w:rPr>
        <w:t>ij</w:t>
      </w:r>
      <w:r w:rsidRPr="00C00F2A">
        <w:rPr>
          <w:sz w:val="22"/>
          <w:szCs w:val="22"/>
        </w:rPr>
        <w:t>eni zaštitom mentalnog zdravlja u zajednici. Razvojem socijalne psihijatrije, ali i pojavo</w:t>
      </w:r>
      <w:r w:rsidR="001B7A64" w:rsidRPr="00C00F2A">
        <w:rPr>
          <w:sz w:val="22"/>
          <w:szCs w:val="22"/>
        </w:rPr>
        <w:t>m nove generacije l</w:t>
      </w:r>
      <w:r w:rsidR="00C076CA" w:rsidRPr="00C00F2A">
        <w:rPr>
          <w:sz w:val="22"/>
          <w:szCs w:val="22"/>
        </w:rPr>
        <w:t>ij</w:t>
      </w:r>
      <w:r w:rsidR="001B7A64" w:rsidRPr="00C00F2A">
        <w:rPr>
          <w:sz w:val="22"/>
          <w:szCs w:val="22"/>
        </w:rPr>
        <w:t>ekova m</w:t>
      </w:r>
      <w:r w:rsidR="00C076CA" w:rsidRPr="00C00F2A">
        <w:rPr>
          <w:sz w:val="22"/>
          <w:szCs w:val="22"/>
        </w:rPr>
        <w:t>ij</w:t>
      </w:r>
      <w:r w:rsidR="001B7A64" w:rsidRPr="00C00F2A">
        <w:rPr>
          <w:sz w:val="22"/>
          <w:szCs w:val="22"/>
        </w:rPr>
        <w:t>enja s</w:t>
      </w:r>
      <w:r w:rsidRPr="00C00F2A">
        <w:rPr>
          <w:sz w:val="22"/>
          <w:szCs w:val="22"/>
        </w:rPr>
        <w:t>e percepcija mogućnosti l</w:t>
      </w:r>
      <w:r w:rsidR="00C076CA" w:rsidRPr="00C00F2A">
        <w:rPr>
          <w:sz w:val="22"/>
          <w:szCs w:val="22"/>
        </w:rPr>
        <w:t>ij</w:t>
      </w:r>
      <w:r w:rsidRPr="00C00F2A">
        <w:rPr>
          <w:sz w:val="22"/>
          <w:szCs w:val="22"/>
        </w:rPr>
        <w:t>ečenja osoba sa ozbiljnim psihičkim smetnjama, što je u razvijenim demokratijama dovelo do prom</w:t>
      </w:r>
      <w:r w:rsidR="00D8137C" w:rsidRPr="00C00F2A">
        <w:rPr>
          <w:sz w:val="22"/>
          <w:szCs w:val="22"/>
        </w:rPr>
        <w:t>j</w:t>
      </w:r>
      <w:r w:rsidRPr="00C00F2A">
        <w:rPr>
          <w:sz w:val="22"/>
          <w:szCs w:val="22"/>
        </w:rPr>
        <w:t xml:space="preserve">ene odnosa prema osobama sa psihičkim smetnjama i pristupa </w:t>
      </w:r>
      <w:r w:rsidR="001B7A64" w:rsidRPr="00C00F2A">
        <w:rPr>
          <w:sz w:val="22"/>
          <w:szCs w:val="22"/>
        </w:rPr>
        <w:t>l</w:t>
      </w:r>
      <w:r w:rsidR="00D8137C" w:rsidRPr="00C00F2A">
        <w:rPr>
          <w:sz w:val="22"/>
          <w:szCs w:val="22"/>
        </w:rPr>
        <w:t>ij</w:t>
      </w:r>
      <w:r w:rsidR="001B7A64" w:rsidRPr="00C00F2A">
        <w:rPr>
          <w:sz w:val="22"/>
          <w:szCs w:val="22"/>
        </w:rPr>
        <w:t>ečenju u sm</w:t>
      </w:r>
      <w:r w:rsidR="00D8137C" w:rsidRPr="00C00F2A">
        <w:rPr>
          <w:sz w:val="22"/>
          <w:szCs w:val="22"/>
        </w:rPr>
        <w:t>j</w:t>
      </w:r>
      <w:r w:rsidR="001B7A64" w:rsidRPr="00C00F2A">
        <w:rPr>
          <w:sz w:val="22"/>
          <w:szCs w:val="22"/>
        </w:rPr>
        <w:t>eru poštovanja ljudskih prava, poštovanja autonomije i</w:t>
      </w:r>
      <w:r w:rsidR="00E20731" w:rsidRPr="00C00F2A">
        <w:rPr>
          <w:sz w:val="22"/>
          <w:szCs w:val="22"/>
        </w:rPr>
        <w:t xml:space="preserve"> integriteta ličnosti uz uvažavanje</w:t>
      </w:r>
      <w:r w:rsidR="001B7A64" w:rsidRPr="00C00F2A">
        <w:rPr>
          <w:sz w:val="22"/>
          <w:szCs w:val="22"/>
        </w:rPr>
        <w:t xml:space="preserve"> odluka koje osoba donosi o sopstvenom životu.</w:t>
      </w:r>
    </w:p>
    <w:p w:rsidR="00816AF3" w:rsidRPr="00C00F2A" w:rsidRDefault="00F77D32" w:rsidP="00CB020D">
      <w:pPr>
        <w:jc w:val="both"/>
        <w:rPr>
          <w:sz w:val="22"/>
          <w:szCs w:val="22"/>
        </w:rPr>
      </w:pPr>
      <w:r w:rsidRPr="00C00F2A">
        <w:rPr>
          <w:sz w:val="22"/>
          <w:szCs w:val="22"/>
        </w:rPr>
        <w:t>Danas postoji široki konsenzus da je potrebno model brige</w:t>
      </w:r>
      <w:r w:rsidR="00D8137C" w:rsidRPr="00C00F2A">
        <w:rPr>
          <w:sz w:val="22"/>
          <w:szCs w:val="22"/>
        </w:rPr>
        <w:t>,</w:t>
      </w:r>
      <w:r w:rsidRPr="00C00F2A">
        <w:rPr>
          <w:sz w:val="22"/>
          <w:szCs w:val="22"/>
        </w:rPr>
        <w:t xml:space="preserve"> zasnovan na tradicionalnim velikim psihijatrijskim bolnicama</w:t>
      </w:r>
      <w:r w:rsidR="00D8137C" w:rsidRPr="00C00F2A">
        <w:rPr>
          <w:sz w:val="22"/>
          <w:szCs w:val="22"/>
        </w:rPr>
        <w:t>,</w:t>
      </w:r>
      <w:r w:rsidRPr="00C00F2A">
        <w:rPr>
          <w:sz w:val="22"/>
          <w:szCs w:val="22"/>
        </w:rPr>
        <w:t xml:space="preserve"> zam</w:t>
      </w:r>
      <w:r w:rsidR="00D8137C" w:rsidRPr="00C00F2A">
        <w:rPr>
          <w:sz w:val="22"/>
          <w:szCs w:val="22"/>
        </w:rPr>
        <w:t>ij</w:t>
      </w:r>
      <w:r w:rsidRPr="00C00F2A">
        <w:rPr>
          <w:sz w:val="22"/>
          <w:szCs w:val="22"/>
        </w:rPr>
        <w:t>eniti modernim</w:t>
      </w:r>
      <w:r w:rsidR="00D8137C" w:rsidRPr="00C00F2A">
        <w:rPr>
          <w:sz w:val="22"/>
          <w:szCs w:val="22"/>
        </w:rPr>
        <w:t>,</w:t>
      </w:r>
      <w:r w:rsidRPr="00C00F2A">
        <w:rPr>
          <w:sz w:val="22"/>
          <w:szCs w:val="22"/>
        </w:rPr>
        <w:t xml:space="preserve"> sveobihvatnim modelima brige i l</w:t>
      </w:r>
      <w:r w:rsidR="00D8137C" w:rsidRPr="00C00F2A">
        <w:rPr>
          <w:sz w:val="22"/>
          <w:szCs w:val="22"/>
        </w:rPr>
        <w:t>ij</w:t>
      </w:r>
      <w:r w:rsidRPr="00C00F2A">
        <w:rPr>
          <w:sz w:val="22"/>
          <w:szCs w:val="22"/>
        </w:rPr>
        <w:t xml:space="preserve">ečenja u zajednici, </w:t>
      </w:r>
      <w:r w:rsidR="00FC014D" w:rsidRPr="00C00F2A">
        <w:rPr>
          <w:sz w:val="22"/>
          <w:szCs w:val="22"/>
        </w:rPr>
        <w:t xml:space="preserve">koji </w:t>
      </w:r>
      <w:r w:rsidRPr="00C00F2A">
        <w:rPr>
          <w:sz w:val="22"/>
          <w:szCs w:val="22"/>
        </w:rPr>
        <w:t>uključuju akutna bolnička od</w:t>
      </w:r>
      <w:r w:rsidR="00D8137C" w:rsidRPr="00C00F2A">
        <w:rPr>
          <w:sz w:val="22"/>
          <w:szCs w:val="22"/>
        </w:rPr>
        <w:t>j</w:t>
      </w:r>
      <w:r w:rsidRPr="00C00F2A">
        <w:rPr>
          <w:sz w:val="22"/>
          <w:szCs w:val="22"/>
        </w:rPr>
        <w:t xml:space="preserve">eljenja u opštim bolnicama. </w:t>
      </w:r>
    </w:p>
    <w:p w:rsidR="00816AF3" w:rsidRPr="00C00F2A" w:rsidRDefault="008E6F36" w:rsidP="00CB020D">
      <w:pPr>
        <w:jc w:val="both"/>
        <w:rPr>
          <w:sz w:val="22"/>
          <w:szCs w:val="22"/>
        </w:rPr>
      </w:pPr>
      <w:r w:rsidRPr="00C00F2A">
        <w:rPr>
          <w:sz w:val="22"/>
          <w:szCs w:val="22"/>
        </w:rPr>
        <w:t>U izv</w:t>
      </w:r>
      <w:r w:rsidR="00D8137C" w:rsidRPr="00C00F2A">
        <w:rPr>
          <w:sz w:val="22"/>
          <w:szCs w:val="22"/>
        </w:rPr>
        <w:t>j</w:t>
      </w:r>
      <w:r w:rsidRPr="00C00F2A">
        <w:rPr>
          <w:sz w:val="22"/>
          <w:szCs w:val="22"/>
        </w:rPr>
        <w:t>eštaju S</w:t>
      </w:r>
      <w:r w:rsidR="00E43D43" w:rsidRPr="00C00F2A">
        <w:rPr>
          <w:sz w:val="22"/>
          <w:szCs w:val="22"/>
        </w:rPr>
        <w:t>v</w:t>
      </w:r>
      <w:r w:rsidR="00795021" w:rsidRPr="00C00F2A">
        <w:rPr>
          <w:sz w:val="22"/>
          <w:szCs w:val="22"/>
        </w:rPr>
        <w:t>j</w:t>
      </w:r>
      <w:r w:rsidR="00E43D43" w:rsidRPr="00C00F2A">
        <w:rPr>
          <w:sz w:val="22"/>
          <w:szCs w:val="22"/>
        </w:rPr>
        <w:t>etske zdravstvene organizacije (S</w:t>
      </w:r>
      <w:r w:rsidRPr="00C00F2A">
        <w:rPr>
          <w:sz w:val="22"/>
          <w:szCs w:val="22"/>
        </w:rPr>
        <w:t>ZO</w:t>
      </w:r>
      <w:r w:rsidR="00E43D43" w:rsidRPr="00C00F2A">
        <w:rPr>
          <w:sz w:val="22"/>
          <w:szCs w:val="22"/>
        </w:rPr>
        <w:t>)</w:t>
      </w:r>
      <w:r w:rsidRPr="00C00F2A">
        <w:rPr>
          <w:sz w:val="22"/>
          <w:szCs w:val="22"/>
        </w:rPr>
        <w:t xml:space="preserve"> za 2001. godinu – Mentalno zdravlje: Novo razum</w:t>
      </w:r>
      <w:r w:rsidR="00D8137C" w:rsidRPr="00C00F2A">
        <w:rPr>
          <w:sz w:val="22"/>
          <w:szCs w:val="22"/>
        </w:rPr>
        <w:t>ij</w:t>
      </w:r>
      <w:r w:rsidRPr="00C00F2A">
        <w:rPr>
          <w:sz w:val="22"/>
          <w:szCs w:val="22"/>
        </w:rPr>
        <w:t>evanje, nova nada – se navodi:</w:t>
      </w:r>
    </w:p>
    <w:p w:rsidR="008E6F36" w:rsidRPr="00C00F2A" w:rsidRDefault="008E6F36" w:rsidP="00CB020D">
      <w:pPr>
        <w:ind w:firstLine="720"/>
        <w:jc w:val="both"/>
        <w:rPr>
          <w:b/>
          <w:i/>
          <w:sz w:val="22"/>
          <w:szCs w:val="22"/>
        </w:rPr>
      </w:pPr>
      <w:r w:rsidRPr="00C00F2A">
        <w:rPr>
          <w:i/>
          <w:sz w:val="22"/>
          <w:szCs w:val="22"/>
        </w:rPr>
        <w:t>Preporuka 3:</w:t>
      </w:r>
      <w:r w:rsidRPr="00C00F2A">
        <w:rPr>
          <w:b/>
          <w:i/>
          <w:sz w:val="22"/>
          <w:szCs w:val="22"/>
        </w:rPr>
        <w:t xml:space="preserve"> Pružiti n</w:t>
      </w:r>
      <w:r w:rsidR="00D8137C" w:rsidRPr="00C00F2A">
        <w:rPr>
          <w:b/>
          <w:i/>
          <w:sz w:val="22"/>
          <w:szCs w:val="22"/>
        </w:rPr>
        <w:t>j</w:t>
      </w:r>
      <w:r w:rsidRPr="00C00F2A">
        <w:rPr>
          <w:b/>
          <w:i/>
          <w:sz w:val="22"/>
          <w:szCs w:val="22"/>
        </w:rPr>
        <w:t>egu u zajednici</w:t>
      </w:r>
    </w:p>
    <w:p w:rsidR="008E6F36" w:rsidRPr="00C00F2A" w:rsidRDefault="00794351" w:rsidP="00CB020D">
      <w:pPr>
        <w:jc w:val="both"/>
        <w:rPr>
          <w:i/>
          <w:sz w:val="22"/>
          <w:szCs w:val="22"/>
        </w:rPr>
      </w:pPr>
      <w:r w:rsidRPr="00C00F2A">
        <w:rPr>
          <w:i/>
          <w:sz w:val="22"/>
          <w:szCs w:val="22"/>
        </w:rPr>
        <w:tab/>
        <w:t>Briga u zajednici daje bolje efekte od tretmana u insitituciji na ishod l</w:t>
      </w:r>
      <w:r w:rsidR="00D8137C" w:rsidRPr="00C00F2A">
        <w:rPr>
          <w:i/>
          <w:sz w:val="22"/>
          <w:szCs w:val="22"/>
        </w:rPr>
        <w:t>ij</w:t>
      </w:r>
      <w:r w:rsidRPr="00C00F2A">
        <w:rPr>
          <w:i/>
          <w:sz w:val="22"/>
          <w:szCs w:val="22"/>
        </w:rPr>
        <w:t xml:space="preserve">ečenja i kvalitet života osoba sa hroničnim mentalnim </w:t>
      </w:r>
      <w:r w:rsidR="009E42FF" w:rsidRPr="00C00F2A">
        <w:rPr>
          <w:i/>
          <w:sz w:val="22"/>
          <w:szCs w:val="22"/>
        </w:rPr>
        <w:t>smetnjam</w:t>
      </w:r>
      <w:r w:rsidRPr="00C00F2A">
        <w:rPr>
          <w:i/>
          <w:sz w:val="22"/>
          <w:szCs w:val="22"/>
        </w:rPr>
        <w:t xml:space="preserve">a. Prebacivanje pacijenata iz psihijatrijskih bolnica na brigu u zajednici je, takođe, isplativije i poštuje ljudska prava. </w:t>
      </w:r>
      <w:r w:rsidR="004B3B2E" w:rsidRPr="00C00F2A">
        <w:rPr>
          <w:i/>
          <w:sz w:val="22"/>
          <w:szCs w:val="22"/>
        </w:rPr>
        <w:t xml:space="preserve">Stoga bi usluge mentalnog zdravlja trebalo pružati u zajednici, uz korišćenje svih raspoloživih resursa. </w:t>
      </w:r>
      <w:r w:rsidR="002E7BD0" w:rsidRPr="00C00F2A">
        <w:rPr>
          <w:i/>
          <w:sz w:val="22"/>
          <w:szCs w:val="22"/>
        </w:rPr>
        <w:t>Usluge u zajednici omogućuju ranu intervenciju i smanjuju stigmu u vezi sa l</w:t>
      </w:r>
      <w:r w:rsidR="00D8137C" w:rsidRPr="00C00F2A">
        <w:rPr>
          <w:i/>
          <w:sz w:val="22"/>
          <w:szCs w:val="22"/>
        </w:rPr>
        <w:t>ij</w:t>
      </w:r>
      <w:r w:rsidR="002E7BD0" w:rsidRPr="00C00F2A">
        <w:rPr>
          <w:i/>
          <w:sz w:val="22"/>
          <w:szCs w:val="22"/>
        </w:rPr>
        <w:t>ečenjem. Velike zatvorene psihijatrijske bolnice potrebno je zam</w:t>
      </w:r>
      <w:r w:rsidR="005E48B2" w:rsidRPr="00C00F2A">
        <w:rPr>
          <w:i/>
          <w:sz w:val="22"/>
          <w:szCs w:val="22"/>
        </w:rPr>
        <w:t>ij</w:t>
      </w:r>
      <w:r w:rsidR="002E7BD0" w:rsidRPr="00C00F2A">
        <w:rPr>
          <w:i/>
          <w:sz w:val="22"/>
          <w:szCs w:val="22"/>
        </w:rPr>
        <w:t xml:space="preserve">eniti službama </w:t>
      </w:r>
      <w:r w:rsidR="0078053C" w:rsidRPr="00C00F2A">
        <w:rPr>
          <w:i/>
          <w:sz w:val="22"/>
          <w:szCs w:val="22"/>
        </w:rPr>
        <w:t xml:space="preserve">za </w:t>
      </w:r>
      <w:r w:rsidR="002E7BD0" w:rsidRPr="00C00F2A">
        <w:rPr>
          <w:i/>
          <w:sz w:val="22"/>
          <w:szCs w:val="22"/>
        </w:rPr>
        <w:t>brig</w:t>
      </w:r>
      <w:r w:rsidR="0078053C" w:rsidRPr="00C00F2A">
        <w:rPr>
          <w:i/>
          <w:sz w:val="22"/>
          <w:szCs w:val="22"/>
        </w:rPr>
        <w:t>u/l</w:t>
      </w:r>
      <w:r w:rsidR="00EE6087" w:rsidRPr="00C00F2A">
        <w:rPr>
          <w:i/>
          <w:sz w:val="22"/>
          <w:szCs w:val="22"/>
        </w:rPr>
        <w:t>ij</w:t>
      </w:r>
      <w:r w:rsidR="0078053C" w:rsidRPr="00C00F2A">
        <w:rPr>
          <w:i/>
          <w:sz w:val="22"/>
          <w:szCs w:val="22"/>
        </w:rPr>
        <w:t>ečenje</w:t>
      </w:r>
      <w:r w:rsidR="002E7BD0" w:rsidRPr="00C00F2A">
        <w:rPr>
          <w:i/>
          <w:sz w:val="22"/>
          <w:szCs w:val="22"/>
        </w:rPr>
        <w:t xml:space="preserve"> u zajednici</w:t>
      </w:r>
      <w:r w:rsidR="00E36955" w:rsidRPr="00C00F2A">
        <w:rPr>
          <w:i/>
          <w:sz w:val="22"/>
          <w:szCs w:val="22"/>
        </w:rPr>
        <w:t>, uz postojanje psihijatrijskih od</w:t>
      </w:r>
      <w:r w:rsidR="00EE6087" w:rsidRPr="00C00F2A">
        <w:rPr>
          <w:i/>
          <w:sz w:val="22"/>
          <w:szCs w:val="22"/>
        </w:rPr>
        <w:t>j</w:t>
      </w:r>
      <w:r w:rsidR="00E36955" w:rsidRPr="00C00F2A">
        <w:rPr>
          <w:i/>
          <w:sz w:val="22"/>
          <w:szCs w:val="22"/>
        </w:rPr>
        <w:t>eljenja pri opštim bolnicama i službe podrške u kući, koje zadvoljavaju sve one potrebe obol</w:t>
      </w:r>
      <w:r w:rsidR="00EE6087" w:rsidRPr="00C00F2A">
        <w:rPr>
          <w:i/>
          <w:sz w:val="22"/>
          <w:szCs w:val="22"/>
        </w:rPr>
        <w:t>j</w:t>
      </w:r>
      <w:r w:rsidR="00E36955" w:rsidRPr="00C00F2A">
        <w:rPr>
          <w:i/>
          <w:sz w:val="22"/>
          <w:szCs w:val="22"/>
        </w:rPr>
        <w:t>elih osoba</w:t>
      </w:r>
      <w:r w:rsidR="00DB3390" w:rsidRPr="00C00F2A">
        <w:rPr>
          <w:i/>
          <w:sz w:val="22"/>
          <w:szCs w:val="22"/>
        </w:rPr>
        <w:t>,</w:t>
      </w:r>
      <w:r w:rsidR="00E36955" w:rsidRPr="00C00F2A">
        <w:rPr>
          <w:i/>
          <w:sz w:val="22"/>
          <w:szCs w:val="22"/>
        </w:rPr>
        <w:t xml:space="preserve"> koje su bile u nadležnosti velikih psihijatrijskih bolnica. </w:t>
      </w:r>
      <w:r w:rsidR="00A82019" w:rsidRPr="00C00F2A">
        <w:rPr>
          <w:i/>
          <w:sz w:val="22"/>
          <w:szCs w:val="22"/>
        </w:rPr>
        <w:t>Ovaj prelaz ka brizi/l</w:t>
      </w:r>
      <w:r w:rsidR="00EE6087" w:rsidRPr="00C00F2A">
        <w:rPr>
          <w:i/>
          <w:sz w:val="22"/>
          <w:szCs w:val="22"/>
        </w:rPr>
        <w:t>ij</w:t>
      </w:r>
      <w:r w:rsidR="00A82019" w:rsidRPr="00C00F2A">
        <w:rPr>
          <w:i/>
          <w:sz w:val="22"/>
          <w:szCs w:val="22"/>
        </w:rPr>
        <w:t>ečenju u zajednici zaht</w:t>
      </w:r>
      <w:r w:rsidR="00EE6087" w:rsidRPr="00C00F2A">
        <w:rPr>
          <w:i/>
          <w:sz w:val="22"/>
          <w:szCs w:val="22"/>
        </w:rPr>
        <w:t>ij</w:t>
      </w:r>
      <w:r w:rsidR="00A82019" w:rsidRPr="00C00F2A">
        <w:rPr>
          <w:i/>
          <w:sz w:val="22"/>
          <w:szCs w:val="22"/>
        </w:rPr>
        <w:t>eva da zdravstveni radnici i usluge rehabilitacije budu na raspolaganju u zajednici, uz pružanje podrške u kriznim situacijama, zaštićenog stanovanja i zapošljavanja uz podršku.</w:t>
      </w:r>
      <w:r w:rsidR="002E7BD0" w:rsidRPr="00C00F2A">
        <w:rPr>
          <w:i/>
          <w:sz w:val="22"/>
          <w:szCs w:val="22"/>
        </w:rPr>
        <w:t xml:space="preserve"> </w:t>
      </w:r>
    </w:p>
    <w:p w:rsidR="00C81C86" w:rsidRPr="00C00F2A" w:rsidRDefault="00A16480" w:rsidP="00CB020D">
      <w:pPr>
        <w:jc w:val="both"/>
        <w:rPr>
          <w:sz w:val="22"/>
          <w:szCs w:val="22"/>
        </w:rPr>
      </w:pPr>
      <w:r w:rsidRPr="00C00F2A">
        <w:rPr>
          <w:sz w:val="22"/>
          <w:szCs w:val="22"/>
        </w:rPr>
        <w:lastRenderedPageBreak/>
        <w:t>Prepoznajući značaj procesa deinstitucionalizacije za opšte zdravlje pojedinca,</w:t>
      </w:r>
      <w:r w:rsidR="002E3D36" w:rsidRPr="00C00F2A">
        <w:rPr>
          <w:rStyle w:val="FootnoteReference"/>
          <w:sz w:val="22"/>
          <w:szCs w:val="22"/>
        </w:rPr>
        <w:footnoteReference w:id="6"/>
      </w:r>
      <w:r w:rsidRPr="00C00F2A">
        <w:rPr>
          <w:sz w:val="22"/>
          <w:szCs w:val="22"/>
        </w:rPr>
        <w:t xml:space="preserve"> S</w:t>
      </w:r>
      <w:r w:rsidR="00E43D43" w:rsidRPr="00C00F2A">
        <w:rPr>
          <w:sz w:val="22"/>
          <w:szCs w:val="22"/>
        </w:rPr>
        <w:t>ZO</w:t>
      </w:r>
      <w:r w:rsidRPr="00C00F2A">
        <w:rPr>
          <w:sz w:val="22"/>
          <w:szCs w:val="22"/>
        </w:rPr>
        <w:t xml:space="preserve"> je u svom Akcionom planu</w:t>
      </w:r>
      <w:r w:rsidR="00070BA0" w:rsidRPr="00C00F2A">
        <w:rPr>
          <w:sz w:val="22"/>
          <w:szCs w:val="22"/>
        </w:rPr>
        <w:t xml:space="preserve"> (2013)</w:t>
      </w:r>
      <w:r w:rsidR="00677892" w:rsidRPr="00C00F2A">
        <w:rPr>
          <w:rStyle w:val="FootnoteReference"/>
          <w:rFonts w:cstheme="minorHAnsi"/>
          <w:b/>
          <w:bCs/>
          <w:color w:val="262324"/>
          <w:sz w:val="22"/>
          <w:szCs w:val="22"/>
        </w:rPr>
        <w:footnoteReference w:id="7"/>
      </w:r>
      <w:r w:rsidR="00FC014D" w:rsidRPr="00C00F2A">
        <w:rPr>
          <w:sz w:val="22"/>
          <w:szCs w:val="22"/>
        </w:rPr>
        <w:t>,</w:t>
      </w:r>
      <w:r w:rsidRPr="00C00F2A">
        <w:rPr>
          <w:sz w:val="22"/>
          <w:szCs w:val="22"/>
        </w:rPr>
        <w:t xml:space="preserve"> između ostalog, odredila sl</w:t>
      </w:r>
      <w:r w:rsidR="00EE6087" w:rsidRPr="00C00F2A">
        <w:rPr>
          <w:sz w:val="22"/>
          <w:szCs w:val="22"/>
        </w:rPr>
        <w:t>j</w:t>
      </w:r>
      <w:r w:rsidRPr="00C00F2A">
        <w:rPr>
          <w:sz w:val="22"/>
          <w:szCs w:val="22"/>
        </w:rPr>
        <w:t>edeće prioritete:</w:t>
      </w:r>
    </w:p>
    <w:p w:rsidR="00070BA0" w:rsidRPr="00C00F2A" w:rsidRDefault="00070BA0" w:rsidP="00CB020D">
      <w:pPr>
        <w:jc w:val="both"/>
        <w:rPr>
          <w:sz w:val="22"/>
          <w:szCs w:val="22"/>
        </w:rPr>
      </w:pPr>
      <w:r w:rsidRPr="00C00F2A">
        <w:rPr>
          <w:sz w:val="22"/>
          <w:szCs w:val="22"/>
        </w:rPr>
        <w:t xml:space="preserve">(a) </w:t>
      </w:r>
      <w:r w:rsidR="005A03B1" w:rsidRPr="00C00F2A">
        <w:rPr>
          <w:sz w:val="22"/>
          <w:szCs w:val="22"/>
        </w:rPr>
        <w:t>svako ima jednaku mogućnost da ostv</w:t>
      </w:r>
      <w:r w:rsidR="00EE6087" w:rsidRPr="00C00F2A">
        <w:rPr>
          <w:sz w:val="22"/>
          <w:szCs w:val="22"/>
        </w:rPr>
        <w:t>ari mentalno blagostanje kroz ci</w:t>
      </w:r>
      <w:r w:rsidR="005A03B1" w:rsidRPr="00C00F2A">
        <w:rPr>
          <w:sz w:val="22"/>
          <w:szCs w:val="22"/>
        </w:rPr>
        <w:t>o životni v</w:t>
      </w:r>
      <w:r w:rsidR="00EE6087" w:rsidRPr="00C00F2A">
        <w:rPr>
          <w:sz w:val="22"/>
          <w:szCs w:val="22"/>
        </w:rPr>
        <w:t>ij</w:t>
      </w:r>
      <w:r w:rsidR="005A03B1" w:rsidRPr="00C00F2A">
        <w:rPr>
          <w:sz w:val="22"/>
          <w:szCs w:val="22"/>
        </w:rPr>
        <w:t>ek, posebno oni koji su najranjiviji ili u opasnosti</w:t>
      </w:r>
      <w:r w:rsidR="005B47C2" w:rsidRPr="00C00F2A">
        <w:rPr>
          <w:sz w:val="22"/>
          <w:szCs w:val="22"/>
        </w:rPr>
        <w:t>;</w:t>
      </w:r>
    </w:p>
    <w:p w:rsidR="00070BA0" w:rsidRPr="00C00F2A" w:rsidRDefault="00070BA0" w:rsidP="00CB020D">
      <w:pPr>
        <w:jc w:val="both"/>
        <w:rPr>
          <w:sz w:val="22"/>
          <w:szCs w:val="22"/>
        </w:rPr>
      </w:pPr>
      <w:r w:rsidRPr="00C00F2A">
        <w:rPr>
          <w:sz w:val="22"/>
          <w:szCs w:val="22"/>
        </w:rPr>
        <w:t xml:space="preserve">(b) </w:t>
      </w:r>
      <w:r w:rsidR="005B47C2" w:rsidRPr="00C00F2A">
        <w:rPr>
          <w:sz w:val="22"/>
          <w:szCs w:val="22"/>
        </w:rPr>
        <w:t>osobe sa problemima mentalnog zdravlja su građani/građanke</w:t>
      </w:r>
      <w:r w:rsidR="00EE6087" w:rsidRPr="00C00F2A">
        <w:rPr>
          <w:sz w:val="22"/>
          <w:szCs w:val="22"/>
        </w:rPr>
        <w:t>,</w:t>
      </w:r>
      <w:r w:rsidR="005B47C2" w:rsidRPr="00C00F2A">
        <w:rPr>
          <w:sz w:val="22"/>
          <w:szCs w:val="22"/>
        </w:rPr>
        <w:t xml:space="preserve"> čija se ljudska prava u potpunosti vrednuju, štite i promovišu</w:t>
      </w:r>
      <w:r w:rsidRPr="00C00F2A">
        <w:rPr>
          <w:sz w:val="22"/>
          <w:szCs w:val="22"/>
        </w:rPr>
        <w:t>;</w:t>
      </w:r>
    </w:p>
    <w:p w:rsidR="00070BA0" w:rsidRPr="00C00F2A" w:rsidRDefault="00070BA0" w:rsidP="00CB020D">
      <w:pPr>
        <w:jc w:val="both"/>
        <w:rPr>
          <w:sz w:val="22"/>
          <w:szCs w:val="22"/>
        </w:rPr>
      </w:pPr>
      <w:r w:rsidRPr="00C00F2A">
        <w:rPr>
          <w:sz w:val="22"/>
          <w:szCs w:val="22"/>
        </w:rPr>
        <w:t xml:space="preserve">(c) </w:t>
      </w:r>
      <w:r w:rsidR="00FB0C9D" w:rsidRPr="00C00F2A">
        <w:rPr>
          <w:sz w:val="22"/>
          <w:szCs w:val="22"/>
        </w:rPr>
        <w:t>usluge mentalnog zdravlja su pristupačne i mogu se priuštiti, dostupne su u zajednici u skladu sa potrebama; i</w:t>
      </w:r>
    </w:p>
    <w:p w:rsidR="00070BA0" w:rsidRPr="00C00F2A" w:rsidRDefault="00070BA0" w:rsidP="00CB020D">
      <w:pPr>
        <w:jc w:val="both"/>
        <w:rPr>
          <w:sz w:val="22"/>
          <w:szCs w:val="22"/>
        </w:rPr>
      </w:pPr>
      <w:r w:rsidRPr="00C00F2A">
        <w:rPr>
          <w:sz w:val="22"/>
          <w:szCs w:val="22"/>
        </w:rPr>
        <w:t xml:space="preserve">(d) </w:t>
      </w:r>
      <w:r w:rsidR="00FB0C9D" w:rsidRPr="00C00F2A">
        <w:rPr>
          <w:sz w:val="22"/>
          <w:szCs w:val="22"/>
        </w:rPr>
        <w:t>osobe imaju pravo na bezb</w:t>
      </w:r>
      <w:r w:rsidR="006A2D2C" w:rsidRPr="00C00F2A">
        <w:rPr>
          <w:sz w:val="22"/>
          <w:szCs w:val="22"/>
        </w:rPr>
        <w:t>j</w:t>
      </w:r>
      <w:r w:rsidR="00FB0C9D" w:rsidRPr="00C00F2A">
        <w:rPr>
          <w:sz w:val="22"/>
          <w:szCs w:val="22"/>
        </w:rPr>
        <w:t xml:space="preserve">edan </w:t>
      </w:r>
      <w:r w:rsidR="003D3314" w:rsidRPr="00C00F2A">
        <w:rPr>
          <w:sz w:val="22"/>
          <w:szCs w:val="22"/>
        </w:rPr>
        <w:t>i efikasan tretman zasnovan na poštovanju</w:t>
      </w:r>
      <w:r w:rsidRPr="00C00F2A">
        <w:rPr>
          <w:sz w:val="22"/>
          <w:szCs w:val="22"/>
        </w:rPr>
        <w:t>.</w:t>
      </w:r>
    </w:p>
    <w:p w:rsidR="00070BA0" w:rsidRPr="00C00F2A" w:rsidRDefault="002B2935" w:rsidP="00CB020D">
      <w:pPr>
        <w:jc w:val="both"/>
        <w:rPr>
          <w:sz w:val="22"/>
          <w:szCs w:val="22"/>
        </w:rPr>
      </w:pPr>
      <w:r w:rsidRPr="00C00F2A">
        <w:rPr>
          <w:sz w:val="22"/>
          <w:szCs w:val="22"/>
        </w:rPr>
        <w:t>Tri međusektor</w:t>
      </w:r>
      <w:r w:rsidR="00475169" w:rsidRPr="00C00F2A">
        <w:rPr>
          <w:sz w:val="22"/>
          <w:szCs w:val="22"/>
        </w:rPr>
        <w:t>s</w:t>
      </w:r>
      <w:r w:rsidRPr="00C00F2A">
        <w:rPr>
          <w:sz w:val="22"/>
          <w:szCs w:val="22"/>
        </w:rPr>
        <w:t>ka cilja su</w:t>
      </w:r>
      <w:r w:rsidR="00070BA0" w:rsidRPr="00C00F2A">
        <w:rPr>
          <w:sz w:val="22"/>
          <w:szCs w:val="22"/>
        </w:rPr>
        <w:t>:</w:t>
      </w:r>
    </w:p>
    <w:p w:rsidR="00070BA0" w:rsidRPr="00C00F2A" w:rsidRDefault="00FC014D" w:rsidP="00CB020D">
      <w:pPr>
        <w:jc w:val="both"/>
        <w:rPr>
          <w:sz w:val="22"/>
          <w:szCs w:val="22"/>
        </w:rPr>
      </w:pPr>
      <w:r w:rsidRPr="00C00F2A">
        <w:rPr>
          <w:sz w:val="22"/>
          <w:szCs w:val="22"/>
        </w:rPr>
        <w:t>(a</w:t>
      </w:r>
      <w:r w:rsidR="00070BA0" w:rsidRPr="00C00F2A">
        <w:rPr>
          <w:sz w:val="22"/>
          <w:szCs w:val="22"/>
        </w:rPr>
        <w:t xml:space="preserve">) </w:t>
      </w:r>
      <w:r w:rsidR="00475169" w:rsidRPr="00C00F2A">
        <w:rPr>
          <w:sz w:val="22"/>
          <w:szCs w:val="22"/>
        </w:rPr>
        <w:t>sistemi zdravstvene zaštite pružaju dobru brigu o fizičkom i mentalnom zdravlju za sve</w:t>
      </w:r>
      <w:r w:rsidR="00070BA0" w:rsidRPr="00C00F2A">
        <w:rPr>
          <w:sz w:val="22"/>
          <w:szCs w:val="22"/>
        </w:rPr>
        <w:t>;</w:t>
      </w:r>
    </w:p>
    <w:p w:rsidR="00070BA0" w:rsidRPr="00C00F2A" w:rsidRDefault="00FC014D" w:rsidP="00CB020D">
      <w:pPr>
        <w:jc w:val="both"/>
        <w:rPr>
          <w:sz w:val="22"/>
          <w:szCs w:val="22"/>
        </w:rPr>
      </w:pPr>
      <w:r w:rsidRPr="00C00F2A">
        <w:rPr>
          <w:sz w:val="22"/>
          <w:szCs w:val="22"/>
        </w:rPr>
        <w:t>(b</w:t>
      </w:r>
      <w:r w:rsidR="00070BA0" w:rsidRPr="00C00F2A">
        <w:rPr>
          <w:sz w:val="22"/>
          <w:szCs w:val="22"/>
        </w:rPr>
        <w:t xml:space="preserve">) </w:t>
      </w:r>
      <w:r w:rsidR="00623C33" w:rsidRPr="00C00F2A">
        <w:rPr>
          <w:sz w:val="22"/>
          <w:szCs w:val="22"/>
        </w:rPr>
        <w:t>sistemi mentalnog zdravlja rade u dobro koordinisanom partnerstvu sa ostalim sektorima; i</w:t>
      </w:r>
    </w:p>
    <w:p w:rsidR="00070BA0" w:rsidRPr="00C00F2A" w:rsidRDefault="00FC014D" w:rsidP="00CB020D">
      <w:pPr>
        <w:jc w:val="both"/>
        <w:rPr>
          <w:sz w:val="22"/>
          <w:szCs w:val="22"/>
        </w:rPr>
      </w:pPr>
      <w:r w:rsidRPr="00C00F2A">
        <w:rPr>
          <w:sz w:val="22"/>
          <w:szCs w:val="22"/>
        </w:rPr>
        <w:t>(c</w:t>
      </w:r>
      <w:r w:rsidR="00070BA0" w:rsidRPr="00C00F2A">
        <w:rPr>
          <w:sz w:val="22"/>
          <w:szCs w:val="22"/>
        </w:rPr>
        <w:t xml:space="preserve">) </w:t>
      </w:r>
      <w:r w:rsidR="00623C33" w:rsidRPr="00C00F2A">
        <w:rPr>
          <w:sz w:val="22"/>
          <w:szCs w:val="22"/>
        </w:rPr>
        <w:t xml:space="preserve">upravljanje i pružanje usluga mentalnog zdravlja vođeno je </w:t>
      </w:r>
      <w:r w:rsidR="00B805A0" w:rsidRPr="00C00F2A">
        <w:rPr>
          <w:sz w:val="22"/>
          <w:szCs w:val="22"/>
        </w:rPr>
        <w:t>dobrim informacijama i znanjem.</w:t>
      </w:r>
    </w:p>
    <w:p w:rsidR="00070BA0" w:rsidRPr="00C00F2A" w:rsidRDefault="00070BA0" w:rsidP="00CB020D">
      <w:pPr>
        <w:jc w:val="both"/>
        <w:rPr>
          <w:sz w:val="22"/>
          <w:szCs w:val="22"/>
        </w:rPr>
      </w:pPr>
      <w:r w:rsidRPr="00C00F2A">
        <w:rPr>
          <w:sz w:val="22"/>
          <w:szCs w:val="22"/>
        </w:rPr>
        <w:t>U okviru četvrtog cilja (pravo na siguran i efektivan tretman zasnovan na poštovanju), SZO preporučuje sl</w:t>
      </w:r>
      <w:r w:rsidR="00BE7F00" w:rsidRPr="00C00F2A">
        <w:rPr>
          <w:sz w:val="22"/>
          <w:szCs w:val="22"/>
        </w:rPr>
        <w:t>j</w:t>
      </w:r>
      <w:r w:rsidRPr="00C00F2A">
        <w:rPr>
          <w:sz w:val="22"/>
          <w:szCs w:val="22"/>
        </w:rPr>
        <w:t>edeće:</w:t>
      </w:r>
    </w:p>
    <w:p w:rsidR="00070BA0" w:rsidRPr="00C00F2A" w:rsidRDefault="00070BA0" w:rsidP="00CB020D">
      <w:pPr>
        <w:jc w:val="both"/>
        <w:rPr>
          <w:i/>
          <w:iCs/>
          <w:sz w:val="22"/>
          <w:szCs w:val="22"/>
        </w:rPr>
      </w:pPr>
      <w:r w:rsidRPr="00C00F2A">
        <w:rPr>
          <w:i/>
          <w:iCs/>
          <w:sz w:val="22"/>
          <w:szCs w:val="22"/>
        </w:rPr>
        <w:t>Reorganizacija servisa i veći obuhvat:</w:t>
      </w:r>
    </w:p>
    <w:p w:rsidR="00C81C86" w:rsidRPr="00C00F2A" w:rsidRDefault="00070BA0" w:rsidP="00CB020D">
      <w:pPr>
        <w:jc w:val="both"/>
        <w:rPr>
          <w:color w:val="666566"/>
          <w:sz w:val="22"/>
          <w:szCs w:val="22"/>
        </w:rPr>
      </w:pPr>
      <w:r w:rsidRPr="00C00F2A">
        <w:rPr>
          <w:sz w:val="22"/>
          <w:szCs w:val="22"/>
        </w:rPr>
        <w:t>Sistematski pom</w:t>
      </w:r>
      <w:r w:rsidR="00BE7F00" w:rsidRPr="00C00F2A">
        <w:rPr>
          <w:sz w:val="22"/>
          <w:szCs w:val="22"/>
        </w:rPr>
        <w:t>j</w:t>
      </w:r>
      <w:r w:rsidRPr="00C00F2A">
        <w:rPr>
          <w:sz w:val="22"/>
          <w:szCs w:val="22"/>
        </w:rPr>
        <w:t>erati m</w:t>
      </w:r>
      <w:r w:rsidR="00BE7F00" w:rsidRPr="00C00F2A">
        <w:rPr>
          <w:sz w:val="22"/>
          <w:szCs w:val="22"/>
        </w:rPr>
        <w:t>j</w:t>
      </w:r>
      <w:r w:rsidRPr="00C00F2A">
        <w:rPr>
          <w:sz w:val="22"/>
          <w:szCs w:val="22"/>
        </w:rPr>
        <w:t>esto brige/l</w:t>
      </w:r>
      <w:r w:rsidR="00BE7F00" w:rsidRPr="00C00F2A">
        <w:rPr>
          <w:sz w:val="22"/>
          <w:szCs w:val="22"/>
        </w:rPr>
        <w:t>ij</w:t>
      </w:r>
      <w:r w:rsidRPr="00C00F2A">
        <w:rPr>
          <w:sz w:val="22"/>
          <w:szCs w:val="22"/>
        </w:rPr>
        <w:t>ečenja od dugotrajnog boravka u psihijatrijskim bo</w:t>
      </w:r>
      <w:r w:rsidR="00BE7F00" w:rsidRPr="00C00F2A">
        <w:rPr>
          <w:sz w:val="22"/>
          <w:szCs w:val="22"/>
        </w:rPr>
        <w:t>l</w:t>
      </w:r>
      <w:r w:rsidRPr="00C00F2A">
        <w:rPr>
          <w:sz w:val="22"/>
          <w:szCs w:val="22"/>
        </w:rPr>
        <w:t xml:space="preserve">nicama ka nespecijalizovanim zdravstvenim uslugama sa povećanim obuhvatom intervencijama koje su zasnovane na dokazima </w:t>
      </w:r>
      <w:r w:rsidR="00C81C86" w:rsidRPr="00C00F2A">
        <w:rPr>
          <w:sz w:val="22"/>
          <w:szCs w:val="22"/>
        </w:rPr>
        <w:t>(</w:t>
      </w:r>
      <w:r w:rsidRPr="00C00F2A">
        <w:rPr>
          <w:sz w:val="22"/>
          <w:szCs w:val="22"/>
        </w:rPr>
        <w:t>uključujući upotrebu „stepenastog“ pristupa, po potrebi) za</w:t>
      </w:r>
      <w:r w:rsidR="00BE7F00" w:rsidRPr="00C00F2A">
        <w:rPr>
          <w:sz w:val="22"/>
          <w:szCs w:val="22"/>
        </w:rPr>
        <w:t xml:space="preserve"> prioritetna stanja i uz korišće</w:t>
      </w:r>
      <w:r w:rsidRPr="00C00F2A">
        <w:rPr>
          <w:sz w:val="22"/>
          <w:szCs w:val="22"/>
        </w:rPr>
        <w:t xml:space="preserve">nje mreže povezanih </w:t>
      </w:r>
      <w:r w:rsidR="00517F14" w:rsidRPr="00C00F2A">
        <w:rPr>
          <w:sz w:val="22"/>
          <w:szCs w:val="22"/>
        </w:rPr>
        <w:t xml:space="preserve">primarnih </w:t>
      </w:r>
      <w:r w:rsidRPr="00C00F2A">
        <w:rPr>
          <w:sz w:val="22"/>
          <w:szCs w:val="22"/>
        </w:rPr>
        <w:t>usluga mentalnog zdravlja u zajednici</w:t>
      </w:r>
      <w:r w:rsidR="00517F14" w:rsidRPr="00C00F2A">
        <w:rPr>
          <w:sz w:val="22"/>
          <w:szCs w:val="22"/>
        </w:rPr>
        <w:t>, uključujući kratkotrajne hospitalizacije i vanbolničko l</w:t>
      </w:r>
      <w:r w:rsidR="00BE7F00" w:rsidRPr="00C00F2A">
        <w:rPr>
          <w:sz w:val="22"/>
          <w:szCs w:val="22"/>
        </w:rPr>
        <w:t>ij</w:t>
      </w:r>
      <w:r w:rsidR="00517F14" w:rsidRPr="00C00F2A">
        <w:rPr>
          <w:sz w:val="22"/>
          <w:szCs w:val="22"/>
        </w:rPr>
        <w:t>ečenje u dnevnim centrima (dnevne bolnice), primarnu zdravstvenu zaštitu, sveobuhvatne centre za mentalno zdravlje (klinike, instituti), dnevne centre, podršku</w:t>
      </w:r>
      <w:r w:rsidR="00324AFA" w:rsidRPr="00C00F2A">
        <w:rPr>
          <w:sz w:val="22"/>
          <w:szCs w:val="22"/>
        </w:rPr>
        <w:t xml:space="preserve"> osobama sa mentalnim smetnjam</w:t>
      </w:r>
      <w:r w:rsidR="00517F14" w:rsidRPr="00C00F2A">
        <w:rPr>
          <w:sz w:val="22"/>
          <w:szCs w:val="22"/>
        </w:rPr>
        <w:t>a koje žive sa porodicom i stanovanje uz podršku</w:t>
      </w:r>
      <w:r w:rsidR="00C81C86" w:rsidRPr="00C00F2A">
        <w:rPr>
          <w:color w:val="666566"/>
          <w:sz w:val="22"/>
          <w:szCs w:val="22"/>
        </w:rPr>
        <w:t>.</w:t>
      </w:r>
    </w:p>
    <w:p w:rsidR="00C81C86" w:rsidRPr="00C00F2A" w:rsidRDefault="00C81C86" w:rsidP="00CB020D">
      <w:pPr>
        <w:jc w:val="both"/>
        <w:rPr>
          <w:sz w:val="22"/>
          <w:szCs w:val="22"/>
        </w:rPr>
      </w:pPr>
      <w:r w:rsidRPr="00C00F2A">
        <w:rPr>
          <w:i/>
          <w:iCs/>
          <w:sz w:val="22"/>
          <w:szCs w:val="22"/>
        </w:rPr>
        <w:t>Integr</w:t>
      </w:r>
      <w:r w:rsidR="00B07F06" w:rsidRPr="00C00F2A">
        <w:rPr>
          <w:i/>
          <w:iCs/>
          <w:sz w:val="22"/>
          <w:szCs w:val="22"/>
        </w:rPr>
        <w:t>isana i responsivna briga/l</w:t>
      </w:r>
      <w:r w:rsidR="00BE7F00" w:rsidRPr="00C00F2A">
        <w:rPr>
          <w:i/>
          <w:iCs/>
          <w:sz w:val="22"/>
          <w:szCs w:val="22"/>
        </w:rPr>
        <w:t>ij</w:t>
      </w:r>
      <w:r w:rsidR="00B07F06" w:rsidRPr="00C00F2A">
        <w:rPr>
          <w:i/>
          <w:iCs/>
          <w:sz w:val="22"/>
          <w:szCs w:val="22"/>
        </w:rPr>
        <w:t>ečenje</w:t>
      </w:r>
      <w:r w:rsidRPr="00C00F2A">
        <w:rPr>
          <w:i/>
          <w:iCs/>
          <w:sz w:val="22"/>
          <w:szCs w:val="22"/>
        </w:rPr>
        <w:t xml:space="preserve">: </w:t>
      </w:r>
      <w:r w:rsidRPr="00C00F2A">
        <w:rPr>
          <w:sz w:val="22"/>
          <w:szCs w:val="22"/>
        </w:rPr>
        <w:t>Integr</w:t>
      </w:r>
      <w:r w:rsidR="00C81576" w:rsidRPr="00C00F2A">
        <w:rPr>
          <w:sz w:val="22"/>
          <w:szCs w:val="22"/>
        </w:rPr>
        <w:t xml:space="preserve">isati i koordinirati holističku prevenciju, promociju, rehabilitaciju, brigu i podršku koje imaju za cilj zadovoljavanje potreba kada je u pitanju fizičko i mentalno zdravlje i koje podstiču oporavak osobe svih starosnih grupa unutar i preko opštih zdravstvenih i socijalnih službi </w:t>
      </w:r>
      <w:r w:rsidRPr="00C00F2A">
        <w:rPr>
          <w:sz w:val="22"/>
          <w:szCs w:val="22"/>
        </w:rPr>
        <w:t>(</w:t>
      </w:r>
      <w:r w:rsidR="00C81576" w:rsidRPr="00C00F2A">
        <w:rPr>
          <w:sz w:val="22"/>
          <w:szCs w:val="22"/>
        </w:rPr>
        <w:t>uključujuči promociju prava na zapošljavanje, stanovanje i obrazovanje)</w:t>
      </w:r>
      <w:r w:rsidRPr="00C00F2A">
        <w:rPr>
          <w:sz w:val="22"/>
          <w:szCs w:val="22"/>
        </w:rPr>
        <w:t xml:space="preserve"> </w:t>
      </w:r>
      <w:r w:rsidR="00C81576" w:rsidRPr="00C00F2A">
        <w:rPr>
          <w:sz w:val="22"/>
          <w:szCs w:val="22"/>
        </w:rPr>
        <w:t>kroz tretman koji je usm</w:t>
      </w:r>
      <w:r w:rsidR="003034B1" w:rsidRPr="00C00F2A">
        <w:rPr>
          <w:sz w:val="22"/>
          <w:szCs w:val="22"/>
        </w:rPr>
        <w:t xml:space="preserve">jeren na pojedinačnog </w:t>
      </w:r>
      <w:r w:rsidR="00C81576" w:rsidRPr="00C00F2A">
        <w:rPr>
          <w:sz w:val="22"/>
          <w:szCs w:val="22"/>
        </w:rPr>
        <w:t>korisnika i planove oporavka i, po potrebi, uz učešće porodice i pružaoca podrške</w:t>
      </w:r>
      <w:r w:rsidRPr="00C00F2A">
        <w:rPr>
          <w:color w:val="555354"/>
          <w:sz w:val="22"/>
          <w:szCs w:val="22"/>
        </w:rPr>
        <w:t>.</w:t>
      </w:r>
    </w:p>
    <w:p w:rsidR="006F2ADD" w:rsidRPr="00C00F2A" w:rsidRDefault="006F2ADD" w:rsidP="006F2ADD">
      <w:pPr>
        <w:pStyle w:val="Heading3"/>
      </w:pPr>
      <w:bookmarkStart w:id="13" w:name="_Toc473540821"/>
      <w:r w:rsidRPr="00C00F2A">
        <w:lastRenderedPageBreak/>
        <w:t>Pogubni efekti institucija na zdravlje i život pojedinca</w:t>
      </w:r>
      <w:bookmarkEnd w:id="13"/>
    </w:p>
    <w:p w:rsidR="00404E19" w:rsidRPr="00C00F2A" w:rsidRDefault="00404E19" w:rsidP="00CB020D">
      <w:pPr>
        <w:jc w:val="both"/>
        <w:rPr>
          <w:sz w:val="22"/>
          <w:szCs w:val="22"/>
        </w:rPr>
      </w:pPr>
      <w:r w:rsidRPr="00C00F2A">
        <w:rPr>
          <w:sz w:val="22"/>
          <w:szCs w:val="22"/>
        </w:rPr>
        <w:t>Institucionalno</w:t>
      </w:r>
      <w:r w:rsidR="00FB14E8" w:rsidRPr="00C00F2A">
        <w:rPr>
          <w:sz w:val="22"/>
          <w:szCs w:val="22"/>
        </w:rPr>
        <w:t xml:space="preserve"> </w:t>
      </w:r>
      <w:r w:rsidRPr="00C00F2A">
        <w:rPr>
          <w:sz w:val="22"/>
          <w:szCs w:val="22"/>
        </w:rPr>
        <w:t>okruženje je samo po sebi takvo da stvara i dodatne nepovoljnosti</w:t>
      </w:r>
      <w:r w:rsidR="00F35D95" w:rsidRPr="00C00F2A">
        <w:rPr>
          <w:sz w:val="22"/>
          <w:szCs w:val="22"/>
        </w:rPr>
        <w:t>,</w:t>
      </w:r>
      <w:r w:rsidRPr="00C00F2A">
        <w:rPr>
          <w:sz w:val="22"/>
          <w:szCs w:val="22"/>
        </w:rPr>
        <w:t xml:space="preserve"> koje osobu koja boravi u ustanovi</w:t>
      </w:r>
      <w:r w:rsidR="00F35D95" w:rsidRPr="00C00F2A">
        <w:rPr>
          <w:sz w:val="22"/>
          <w:szCs w:val="22"/>
        </w:rPr>
        <w:t>,</w:t>
      </w:r>
      <w:r w:rsidRPr="00C00F2A">
        <w:rPr>
          <w:sz w:val="22"/>
          <w:szCs w:val="22"/>
        </w:rPr>
        <w:t xml:space="preserve"> mogu pratiti do kraj</w:t>
      </w:r>
      <w:r w:rsidR="00F35D95" w:rsidRPr="00C00F2A">
        <w:rPr>
          <w:sz w:val="22"/>
          <w:szCs w:val="22"/>
        </w:rPr>
        <w:t xml:space="preserve">a života. Nedostatak privatnog </w:t>
      </w:r>
      <w:r w:rsidRPr="00C00F2A">
        <w:rPr>
          <w:sz w:val="22"/>
          <w:szCs w:val="22"/>
        </w:rPr>
        <w:t>života, autonomije i nepoštovanje ličnog integriteta osobe može ugroziti njen emotivni i socijalni razvoj</w:t>
      </w:r>
      <w:r w:rsidR="00A6362E" w:rsidRPr="00C00F2A">
        <w:rPr>
          <w:sz w:val="22"/>
          <w:szCs w:val="22"/>
        </w:rPr>
        <w:t xml:space="preserve"> i pogoršati njeno psiho-fizičko stanje</w:t>
      </w:r>
      <w:r w:rsidRPr="00C00F2A">
        <w:rPr>
          <w:sz w:val="22"/>
          <w:szCs w:val="22"/>
        </w:rPr>
        <w:t>. Izrazi kao što su „</w:t>
      </w:r>
      <w:r w:rsidR="00E43D43" w:rsidRPr="00C00F2A">
        <w:rPr>
          <w:sz w:val="22"/>
          <w:szCs w:val="22"/>
        </w:rPr>
        <w:t>s</w:t>
      </w:r>
      <w:r w:rsidRPr="00C00F2A">
        <w:rPr>
          <w:sz w:val="22"/>
          <w:szCs w:val="22"/>
        </w:rPr>
        <w:t>ocijalna deprivacija“ i „naučena bespomoćnost“ su upravo nastali da opišu psihološke uticaje boravka u ustanovi.</w:t>
      </w:r>
      <w:r w:rsidRPr="00C00F2A">
        <w:rPr>
          <w:rStyle w:val="FootnoteReference"/>
          <w:sz w:val="22"/>
          <w:szCs w:val="22"/>
        </w:rPr>
        <w:footnoteReference w:id="8"/>
      </w:r>
    </w:p>
    <w:p w:rsidR="00FB14E8" w:rsidRPr="00C00F2A" w:rsidRDefault="00FB14E8" w:rsidP="00CB020D">
      <w:pPr>
        <w:jc w:val="both"/>
        <w:rPr>
          <w:sz w:val="22"/>
          <w:szCs w:val="22"/>
        </w:rPr>
      </w:pPr>
      <w:r w:rsidRPr="00C00F2A">
        <w:rPr>
          <w:sz w:val="22"/>
          <w:szCs w:val="22"/>
        </w:rPr>
        <w:t>Prekretnicu u odnosu prema institucionalnoj zaštiti osoba sa mentalnim smetnjama čini upravo dokumentovanje i razot</w:t>
      </w:r>
      <w:r w:rsidR="00F35D95" w:rsidRPr="00C00F2A">
        <w:rPr>
          <w:sz w:val="22"/>
          <w:szCs w:val="22"/>
        </w:rPr>
        <w:t>k</w:t>
      </w:r>
      <w:r w:rsidRPr="00C00F2A">
        <w:rPr>
          <w:sz w:val="22"/>
          <w:szCs w:val="22"/>
        </w:rPr>
        <w:t>rivanje pogubnih uslova i tretmana</w:t>
      </w:r>
      <w:r w:rsidR="00F35D95" w:rsidRPr="00C00F2A">
        <w:rPr>
          <w:sz w:val="22"/>
          <w:szCs w:val="22"/>
        </w:rPr>
        <w:t>,</w:t>
      </w:r>
      <w:r w:rsidRPr="00C00F2A">
        <w:rPr>
          <w:sz w:val="22"/>
          <w:szCs w:val="22"/>
        </w:rPr>
        <w:t xml:space="preserve"> kojima su osobe u insitucijama bile izložene (na prim</w:t>
      </w:r>
      <w:r w:rsidR="00F35D95" w:rsidRPr="00C00F2A">
        <w:rPr>
          <w:sz w:val="22"/>
          <w:szCs w:val="22"/>
        </w:rPr>
        <w:t>j</w:t>
      </w:r>
      <w:r w:rsidRPr="00C00F2A">
        <w:rPr>
          <w:sz w:val="22"/>
          <w:szCs w:val="22"/>
        </w:rPr>
        <w:t xml:space="preserve">er, serija skandala u Engleskoj šezdesetih godina, ali i rad organizacija za ljudska prava poput </w:t>
      </w:r>
      <w:r w:rsidRPr="00C00F2A">
        <w:rPr>
          <w:i/>
          <w:sz w:val="22"/>
          <w:szCs w:val="22"/>
        </w:rPr>
        <w:t>Disability Rights International</w:t>
      </w:r>
      <w:r w:rsidRPr="00C00F2A">
        <w:rPr>
          <w:sz w:val="22"/>
          <w:szCs w:val="22"/>
        </w:rPr>
        <w:t xml:space="preserve">, </w:t>
      </w:r>
      <w:r w:rsidRPr="00C00F2A">
        <w:rPr>
          <w:i/>
          <w:sz w:val="22"/>
          <w:szCs w:val="22"/>
        </w:rPr>
        <w:t>M</w:t>
      </w:r>
      <w:r w:rsidR="00E43D43" w:rsidRPr="00C00F2A">
        <w:rPr>
          <w:i/>
          <w:sz w:val="22"/>
          <w:szCs w:val="22"/>
        </w:rPr>
        <w:t xml:space="preserve">ental </w:t>
      </w:r>
      <w:r w:rsidRPr="00C00F2A">
        <w:rPr>
          <w:i/>
          <w:sz w:val="22"/>
          <w:szCs w:val="22"/>
        </w:rPr>
        <w:t>D</w:t>
      </w:r>
      <w:r w:rsidR="00E43D43" w:rsidRPr="00C00F2A">
        <w:rPr>
          <w:i/>
          <w:sz w:val="22"/>
          <w:szCs w:val="22"/>
        </w:rPr>
        <w:t xml:space="preserve">isability </w:t>
      </w:r>
      <w:r w:rsidRPr="00C00F2A">
        <w:rPr>
          <w:i/>
          <w:sz w:val="22"/>
          <w:szCs w:val="22"/>
        </w:rPr>
        <w:t>A</w:t>
      </w:r>
      <w:r w:rsidR="00E43D43" w:rsidRPr="00C00F2A">
        <w:rPr>
          <w:i/>
          <w:sz w:val="22"/>
          <w:szCs w:val="22"/>
        </w:rPr>
        <w:t xml:space="preserve">dvocacy </w:t>
      </w:r>
      <w:r w:rsidRPr="00C00F2A">
        <w:rPr>
          <w:i/>
          <w:sz w:val="22"/>
          <w:szCs w:val="22"/>
        </w:rPr>
        <w:t>C</w:t>
      </w:r>
      <w:r w:rsidR="00E43D43" w:rsidRPr="00C00F2A">
        <w:rPr>
          <w:i/>
          <w:sz w:val="22"/>
          <w:szCs w:val="22"/>
        </w:rPr>
        <w:t>enter</w:t>
      </w:r>
      <w:r w:rsidR="00E43D43" w:rsidRPr="00C00F2A">
        <w:rPr>
          <w:sz w:val="22"/>
          <w:szCs w:val="22"/>
        </w:rPr>
        <w:t xml:space="preserve"> (MDAC)</w:t>
      </w:r>
      <w:r w:rsidRPr="00C00F2A">
        <w:rPr>
          <w:sz w:val="22"/>
          <w:szCs w:val="22"/>
        </w:rPr>
        <w:t xml:space="preserve">, </w:t>
      </w:r>
      <w:r w:rsidRPr="00C00F2A">
        <w:rPr>
          <w:i/>
          <w:sz w:val="22"/>
          <w:szCs w:val="22"/>
        </w:rPr>
        <w:t>Amnesty International</w:t>
      </w:r>
      <w:r w:rsidRPr="00C00F2A">
        <w:rPr>
          <w:sz w:val="22"/>
          <w:szCs w:val="22"/>
        </w:rPr>
        <w:t xml:space="preserve">, </w:t>
      </w:r>
      <w:r w:rsidRPr="00C00F2A">
        <w:rPr>
          <w:i/>
          <w:sz w:val="22"/>
          <w:szCs w:val="22"/>
        </w:rPr>
        <w:t>Human Rights Watch</w:t>
      </w:r>
      <w:r w:rsidRPr="00C00F2A">
        <w:rPr>
          <w:sz w:val="22"/>
          <w:szCs w:val="22"/>
        </w:rPr>
        <w:t xml:space="preserve"> i druge).</w:t>
      </w:r>
      <w:r w:rsidR="0017101F" w:rsidRPr="00C00F2A">
        <w:rPr>
          <w:sz w:val="22"/>
          <w:szCs w:val="22"/>
        </w:rPr>
        <w:t xml:space="preserve"> To je uključivalo </w:t>
      </w:r>
      <w:r w:rsidR="00DA38CF" w:rsidRPr="00C00F2A">
        <w:rPr>
          <w:sz w:val="22"/>
          <w:szCs w:val="22"/>
        </w:rPr>
        <w:t xml:space="preserve">razne oblike </w:t>
      </w:r>
      <w:r w:rsidR="0017101F" w:rsidRPr="00C00F2A">
        <w:rPr>
          <w:sz w:val="22"/>
          <w:szCs w:val="22"/>
        </w:rPr>
        <w:t>zlostavljanj</w:t>
      </w:r>
      <w:r w:rsidR="00DA38CF" w:rsidRPr="00C00F2A">
        <w:rPr>
          <w:sz w:val="22"/>
          <w:szCs w:val="22"/>
        </w:rPr>
        <w:t>a i zanemarivanja</w:t>
      </w:r>
      <w:r w:rsidR="0017101F" w:rsidRPr="00C00F2A">
        <w:rPr>
          <w:sz w:val="22"/>
          <w:szCs w:val="22"/>
        </w:rPr>
        <w:t>, zastar</w:t>
      </w:r>
      <w:r w:rsidR="000948AD" w:rsidRPr="00C00F2A">
        <w:rPr>
          <w:sz w:val="22"/>
          <w:szCs w:val="22"/>
        </w:rPr>
        <w:t>j</w:t>
      </w:r>
      <w:r w:rsidR="0017101F" w:rsidRPr="00C00F2A">
        <w:rPr>
          <w:sz w:val="22"/>
          <w:szCs w:val="22"/>
        </w:rPr>
        <w:t>ele metode l</w:t>
      </w:r>
      <w:r w:rsidR="000948AD" w:rsidRPr="00C00F2A">
        <w:rPr>
          <w:sz w:val="22"/>
          <w:szCs w:val="22"/>
        </w:rPr>
        <w:t>ij</w:t>
      </w:r>
      <w:r w:rsidR="0017101F" w:rsidRPr="00C00F2A">
        <w:rPr>
          <w:sz w:val="22"/>
          <w:szCs w:val="22"/>
        </w:rPr>
        <w:t>ečenja, zloupotrebu l</w:t>
      </w:r>
      <w:r w:rsidR="000948AD" w:rsidRPr="00C00F2A">
        <w:rPr>
          <w:sz w:val="22"/>
          <w:szCs w:val="22"/>
        </w:rPr>
        <w:t>ij</w:t>
      </w:r>
      <w:r w:rsidR="0017101F" w:rsidRPr="00C00F2A">
        <w:rPr>
          <w:sz w:val="22"/>
          <w:szCs w:val="22"/>
        </w:rPr>
        <w:t>ekova, fiksaciju i izolaciju, nekompetentno ili neadekvatno osoblje, prenaseljenost, manjak osoblja, loš</w:t>
      </w:r>
      <w:r w:rsidR="008373E3" w:rsidRPr="00C00F2A">
        <w:rPr>
          <w:sz w:val="22"/>
          <w:szCs w:val="22"/>
        </w:rPr>
        <w:t>e i nečov</w:t>
      </w:r>
      <w:r w:rsidR="00F9762E" w:rsidRPr="00C00F2A">
        <w:rPr>
          <w:sz w:val="22"/>
          <w:szCs w:val="22"/>
        </w:rPr>
        <w:t>j</w:t>
      </w:r>
      <w:r w:rsidR="008373E3" w:rsidRPr="00C00F2A">
        <w:rPr>
          <w:sz w:val="22"/>
          <w:szCs w:val="22"/>
        </w:rPr>
        <w:t>ečne</w:t>
      </w:r>
      <w:r w:rsidR="0017101F" w:rsidRPr="00C00F2A">
        <w:rPr>
          <w:sz w:val="22"/>
          <w:szCs w:val="22"/>
        </w:rPr>
        <w:t xml:space="preserve"> uslov</w:t>
      </w:r>
      <w:r w:rsidR="008373E3" w:rsidRPr="00C00F2A">
        <w:rPr>
          <w:sz w:val="22"/>
          <w:szCs w:val="22"/>
        </w:rPr>
        <w:t>e</w:t>
      </w:r>
      <w:r w:rsidR="0017101F" w:rsidRPr="00C00F2A">
        <w:rPr>
          <w:sz w:val="22"/>
          <w:szCs w:val="22"/>
        </w:rPr>
        <w:t>, propust</w:t>
      </w:r>
      <w:r w:rsidR="008373E3" w:rsidRPr="00C00F2A">
        <w:rPr>
          <w:sz w:val="22"/>
          <w:szCs w:val="22"/>
        </w:rPr>
        <w:t>e</w:t>
      </w:r>
      <w:r w:rsidR="0017101F" w:rsidRPr="00C00F2A">
        <w:rPr>
          <w:sz w:val="22"/>
          <w:szCs w:val="22"/>
        </w:rPr>
        <w:t xml:space="preserve"> u preispitivanju žalbi i viktimizacij</w:t>
      </w:r>
      <w:r w:rsidR="008373E3" w:rsidRPr="00C00F2A">
        <w:rPr>
          <w:sz w:val="22"/>
          <w:szCs w:val="22"/>
        </w:rPr>
        <w:t>u</w:t>
      </w:r>
      <w:r w:rsidR="0017101F" w:rsidRPr="00C00F2A">
        <w:rPr>
          <w:sz w:val="22"/>
          <w:szCs w:val="22"/>
        </w:rPr>
        <w:t xml:space="preserve"> osoba koje podnose žalbe</w:t>
      </w:r>
      <w:r w:rsidR="008373E3" w:rsidRPr="00C00F2A">
        <w:rPr>
          <w:sz w:val="22"/>
          <w:szCs w:val="22"/>
        </w:rPr>
        <w:t>, uključujući korisnike i članove osoblja</w:t>
      </w:r>
      <w:r w:rsidR="0017101F" w:rsidRPr="00C00F2A">
        <w:rPr>
          <w:sz w:val="22"/>
          <w:szCs w:val="22"/>
        </w:rPr>
        <w:t>.</w:t>
      </w:r>
    </w:p>
    <w:p w:rsidR="009A64BC" w:rsidRPr="00A31FAC" w:rsidRDefault="004C68BB" w:rsidP="00CB020D">
      <w:pPr>
        <w:jc w:val="both"/>
        <w:rPr>
          <w:b/>
          <w:sz w:val="22"/>
          <w:szCs w:val="22"/>
        </w:rPr>
      </w:pPr>
      <w:r w:rsidRPr="00C00F2A">
        <w:rPr>
          <w:sz w:val="22"/>
          <w:szCs w:val="22"/>
        </w:rPr>
        <w:t>Iako se u početku mislilo da je r</w:t>
      </w:r>
      <w:r w:rsidR="000948AD" w:rsidRPr="00C00F2A">
        <w:rPr>
          <w:sz w:val="22"/>
          <w:szCs w:val="22"/>
        </w:rPr>
        <w:t>ij</w:t>
      </w:r>
      <w:r w:rsidRPr="00C00F2A">
        <w:rPr>
          <w:sz w:val="22"/>
          <w:szCs w:val="22"/>
        </w:rPr>
        <w:t>eč o individualnim slučajevima, mnogobrojni izv</w:t>
      </w:r>
      <w:r w:rsidR="000948AD" w:rsidRPr="00C00F2A">
        <w:rPr>
          <w:sz w:val="22"/>
          <w:szCs w:val="22"/>
        </w:rPr>
        <w:t>j</w:t>
      </w:r>
      <w:r w:rsidRPr="00C00F2A">
        <w:rPr>
          <w:sz w:val="22"/>
          <w:szCs w:val="22"/>
        </w:rPr>
        <w:t>eštaji iz različitih zemalja potvrdili su da se radi o jednom „šablonu“, opšte</w:t>
      </w:r>
      <w:r w:rsidR="00190902" w:rsidRPr="00C00F2A">
        <w:rPr>
          <w:sz w:val="22"/>
          <w:szCs w:val="22"/>
        </w:rPr>
        <w:t xml:space="preserve"> </w:t>
      </w:r>
      <w:r w:rsidRPr="00C00F2A">
        <w:rPr>
          <w:sz w:val="22"/>
          <w:szCs w:val="22"/>
        </w:rPr>
        <w:t>prisutnim propustima koji su karakteristični za institucionalno zbrinjavanje uopšte, bez obzira na fizičke uslove sm</w:t>
      </w:r>
      <w:r w:rsidR="000948AD" w:rsidRPr="00C00F2A">
        <w:rPr>
          <w:sz w:val="22"/>
          <w:szCs w:val="22"/>
        </w:rPr>
        <w:t>j</w:t>
      </w:r>
      <w:r w:rsidRPr="00C00F2A">
        <w:rPr>
          <w:sz w:val="22"/>
          <w:szCs w:val="22"/>
        </w:rPr>
        <w:t>eštaja.</w:t>
      </w:r>
      <w:r w:rsidR="009A64BC" w:rsidRPr="00C00F2A">
        <w:rPr>
          <w:sz w:val="22"/>
          <w:szCs w:val="22"/>
        </w:rPr>
        <w:t xml:space="preserve"> Ne treba zaboraviti da institucija nije određena samo m</w:t>
      </w:r>
      <w:r w:rsidR="00283F65" w:rsidRPr="00C00F2A">
        <w:rPr>
          <w:sz w:val="22"/>
          <w:szCs w:val="22"/>
        </w:rPr>
        <w:t>j</w:t>
      </w:r>
      <w:r w:rsidR="009A64BC" w:rsidRPr="00C00F2A">
        <w:rPr>
          <w:sz w:val="22"/>
          <w:szCs w:val="22"/>
        </w:rPr>
        <w:t>estom i veličinom</w:t>
      </w:r>
      <w:r w:rsidR="004B422C" w:rsidRPr="00C00F2A">
        <w:rPr>
          <w:sz w:val="22"/>
          <w:szCs w:val="22"/>
        </w:rPr>
        <w:t xml:space="preserve"> već, pr</w:t>
      </w:r>
      <w:r w:rsidR="00283F65" w:rsidRPr="00C00F2A">
        <w:rPr>
          <w:sz w:val="22"/>
          <w:szCs w:val="22"/>
        </w:rPr>
        <w:t>ij</w:t>
      </w:r>
      <w:r w:rsidR="004B422C" w:rsidRPr="00C00F2A">
        <w:rPr>
          <w:sz w:val="22"/>
          <w:szCs w:val="22"/>
        </w:rPr>
        <w:t>e svega, organizacijom života koja</w:t>
      </w:r>
      <w:r w:rsidR="00283F65" w:rsidRPr="00C00F2A">
        <w:rPr>
          <w:sz w:val="22"/>
          <w:szCs w:val="22"/>
        </w:rPr>
        <w:t xml:space="preserve"> zanemaruje individualnost i pri</w:t>
      </w:r>
      <w:r w:rsidR="004B422C" w:rsidRPr="00C00F2A">
        <w:rPr>
          <w:sz w:val="22"/>
          <w:szCs w:val="22"/>
        </w:rPr>
        <w:t>vatnost</w:t>
      </w:r>
      <w:r w:rsidR="00283F65" w:rsidRPr="00C00F2A">
        <w:rPr>
          <w:sz w:val="22"/>
          <w:szCs w:val="22"/>
        </w:rPr>
        <w:t>,</w:t>
      </w:r>
      <w:r w:rsidR="004B422C" w:rsidRPr="00C00F2A">
        <w:rPr>
          <w:sz w:val="22"/>
          <w:szCs w:val="22"/>
        </w:rPr>
        <w:t xml:space="preserve"> tako da potrebe institucije imaju prednost u odnosu na lične potrebe osoba koje u njima žive</w:t>
      </w:r>
      <w:r w:rsidR="009A64BC" w:rsidRPr="00C00F2A">
        <w:rPr>
          <w:sz w:val="22"/>
          <w:szCs w:val="22"/>
        </w:rPr>
        <w:t>. Stoga</w:t>
      </w:r>
      <w:r w:rsidR="004B422C" w:rsidRPr="00C00F2A">
        <w:rPr>
          <w:sz w:val="22"/>
          <w:szCs w:val="22"/>
        </w:rPr>
        <w:t>,</w:t>
      </w:r>
      <w:r w:rsidR="009A64BC" w:rsidRPr="00C00F2A">
        <w:rPr>
          <w:sz w:val="22"/>
          <w:szCs w:val="22"/>
        </w:rPr>
        <w:t xml:space="preserve"> </w:t>
      </w:r>
      <w:r w:rsidR="009A64BC" w:rsidRPr="00A31FAC">
        <w:rPr>
          <w:b/>
          <w:sz w:val="22"/>
          <w:szCs w:val="22"/>
        </w:rPr>
        <w:t>posebnu pažnju treba obratiti na sprečavanje prenošenja institucionalne k</w:t>
      </w:r>
      <w:r w:rsidR="000B41AC" w:rsidRPr="00A31FAC">
        <w:rPr>
          <w:b/>
          <w:sz w:val="22"/>
          <w:szCs w:val="22"/>
        </w:rPr>
        <w:t>ulture na nove usluge, što bi samo dovelo do stvaranja više manjih ustanova</w:t>
      </w:r>
      <w:r w:rsidR="00283F65" w:rsidRPr="00A31FAC">
        <w:rPr>
          <w:b/>
          <w:sz w:val="22"/>
          <w:szCs w:val="22"/>
        </w:rPr>
        <w:t>,</w:t>
      </w:r>
      <w:r w:rsidR="000B41AC" w:rsidRPr="00A31FAC">
        <w:rPr>
          <w:b/>
          <w:sz w:val="22"/>
          <w:szCs w:val="22"/>
        </w:rPr>
        <w:t xml:space="preserve"> koje bi d</w:t>
      </w:r>
      <w:r w:rsidR="00283F65" w:rsidRPr="00A31FAC">
        <w:rPr>
          <w:b/>
          <w:sz w:val="22"/>
          <w:szCs w:val="22"/>
        </w:rPr>
        <w:t>j</w:t>
      </w:r>
      <w:r w:rsidR="000B41AC" w:rsidRPr="00A31FAC">
        <w:rPr>
          <w:b/>
          <w:sz w:val="22"/>
          <w:szCs w:val="22"/>
        </w:rPr>
        <w:t>elovale po istom principu.</w:t>
      </w:r>
      <w:r w:rsidR="009A64BC" w:rsidRPr="00A31FAC">
        <w:rPr>
          <w:b/>
          <w:sz w:val="22"/>
          <w:szCs w:val="22"/>
        </w:rPr>
        <w:t xml:space="preserve"> </w:t>
      </w:r>
    </w:p>
    <w:p w:rsidR="00B52F15" w:rsidRDefault="00B52F15" w:rsidP="00CB020D">
      <w:pPr>
        <w:jc w:val="both"/>
        <w:rPr>
          <w:sz w:val="10"/>
          <w:szCs w:val="22"/>
        </w:rPr>
      </w:pPr>
    </w:p>
    <w:p w:rsidR="00B52F15" w:rsidRDefault="00B52F15" w:rsidP="00CB020D">
      <w:pPr>
        <w:jc w:val="both"/>
        <w:rPr>
          <w:sz w:val="10"/>
          <w:szCs w:val="22"/>
        </w:rPr>
      </w:pPr>
    </w:p>
    <w:p w:rsidR="00E00D1D" w:rsidRDefault="00E00D1D" w:rsidP="00CB020D">
      <w:pPr>
        <w:jc w:val="both"/>
        <w:rPr>
          <w:sz w:val="10"/>
          <w:szCs w:val="22"/>
        </w:rPr>
      </w:pPr>
    </w:p>
    <w:p w:rsidR="00E00D1D" w:rsidRDefault="00E00D1D" w:rsidP="00CB020D">
      <w:pPr>
        <w:jc w:val="both"/>
        <w:rPr>
          <w:sz w:val="10"/>
          <w:szCs w:val="22"/>
        </w:rPr>
      </w:pPr>
    </w:p>
    <w:p w:rsidR="00E00D1D" w:rsidRDefault="00E00D1D" w:rsidP="00CB020D">
      <w:pPr>
        <w:jc w:val="both"/>
        <w:rPr>
          <w:sz w:val="10"/>
          <w:szCs w:val="22"/>
        </w:rPr>
      </w:pPr>
    </w:p>
    <w:p w:rsidR="00E00D1D" w:rsidRDefault="00E00D1D" w:rsidP="00CB020D">
      <w:pPr>
        <w:jc w:val="both"/>
        <w:rPr>
          <w:sz w:val="10"/>
          <w:szCs w:val="22"/>
        </w:rPr>
      </w:pPr>
    </w:p>
    <w:p w:rsidR="00E00D1D" w:rsidRDefault="00E00D1D" w:rsidP="00CB020D">
      <w:pPr>
        <w:jc w:val="both"/>
        <w:rPr>
          <w:sz w:val="10"/>
          <w:szCs w:val="22"/>
        </w:rPr>
      </w:pPr>
    </w:p>
    <w:p w:rsidR="00E00D1D" w:rsidRDefault="00E00D1D" w:rsidP="00CB020D">
      <w:pPr>
        <w:jc w:val="both"/>
        <w:rPr>
          <w:sz w:val="10"/>
          <w:szCs w:val="22"/>
        </w:rPr>
      </w:pPr>
    </w:p>
    <w:p w:rsidR="00E00D1D" w:rsidRDefault="00E00D1D" w:rsidP="00CB020D">
      <w:pPr>
        <w:jc w:val="both"/>
        <w:rPr>
          <w:sz w:val="10"/>
          <w:szCs w:val="22"/>
        </w:rPr>
      </w:pPr>
    </w:p>
    <w:p w:rsidR="00E00D1D" w:rsidRDefault="00E00D1D" w:rsidP="00CB020D">
      <w:pPr>
        <w:jc w:val="both"/>
        <w:rPr>
          <w:sz w:val="10"/>
          <w:szCs w:val="22"/>
        </w:rPr>
      </w:pPr>
    </w:p>
    <w:p w:rsidR="00B52F15" w:rsidRDefault="00B52F15" w:rsidP="00CB020D">
      <w:pPr>
        <w:jc w:val="both"/>
        <w:rPr>
          <w:sz w:val="10"/>
          <w:szCs w:val="22"/>
        </w:rPr>
      </w:pPr>
    </w:p>
    <w:p w:rsidR="00B52F15" w:rsidRDefault="00B52F15" w:rsidP="00CB020D">
      <w:pPr>
        <w:jc w:val="both"/>
        <w:rPr>
          <w:sz w:val="10"/>
          <w:szCs w:val="22"/>
        </w:rPr>
      </w:pPr>
    </w:p>
    <w:p w:rsidR="00B52F15" w:rsidRPr="00B52F15" w:rsidRDefault="00B52F15" w:rsidP="00CB020D">
      <w:pPr>
        <w:jc w:val="both"/>
        <w:rPr>
          <w:sz w:val="10"/>
          <w:szCs w:val="22"/>
        </w:rPr>
      </w:pPr>
    </w:p>
    <w:p w:rsidR="00521453" w:rsidRPr="00C00F2A" w:rsidRDefault="00DF78B2" w:rsidP="00521453">
      <w:pPr>
        <w:pStyle w:val="Heading3"/>
      </w:pPr>
      <w:bookmarkStart w:id="14" w:name="_Toc473540822"/>
      <w:r w:rsidRPr="00C00F2A">
        <w:lastRenderedPageBreak/>
        <w:t>Deinstitucionalizacija i ljudska prava</w:t>
      </w:r>
      <w:bookmarkEnd w:id="14"/>
    </w:p>
    <w:p w:rsidR="009A64BC" w:rsidRPr="00C00F2A" w:rsidRDefault="00D32E1B" w:rsidP="00CB020D">
      <w:pPr>
        <w:jc w:val="both"/>
        <w:rPr>
          <w:sz w:val="22"/>
          <w:szCs w:val="22"/>
        </w:rPr>
      </w:pPr>
      <w:r w:rsidRPr="00C00F2A">
        <w:rPr>
          <w:noProof/>
          <w:sz w:val="22"/>
          <w:szCs w:val="22"/>
          <w:lang w:val="en-US"/>
        </w:rPr>
        <mc:AlternateContent>
          <mc:Choice Requires="wps">
            <w:drawing>
              <wp:anchor distT="0" distB="0" distL="114300" distR="114300" simplePos="0" relativeHeight="251679744" behindDoc="0" locked="0" layoutInCell="1" allowOverlap="1" wp14:anchorId="455D2EFF" wp14:editId="22E0CCB2">
                <wp:simplePos x="0" y="0"/>
                <wp:positionH relativeFrom="column">
                  <wp:posOffset>-8890</wp:posOffset>
                </wp:positionH>
                <wp:positionV relativeFrom="paragraph">
                  <wp:posOffset>1761490</wp:posOffset>
                </wp:positionV>
                <wp:extent cx="5879465" cy="4252595"/>
                <wp:effectExtent l="0" t="0" r="26035" b="14605"/>
                <wp:wrapTopAndBottom/>
                <wp:docPr id="9" name="Rounded Rectangle 9"/>
                <wp:cNvGraphicFramePr/>
                <a:graphic xmlns:a="http://schemas.openxmlformats.org/drawingml/2006/main">
                  <a:graphicData uri="http://schemas.microsoft.com/office/word/2010/wordprocessingShape">
                    <wps:wsp>
                      <wps:cNvSpPr/>
                      <wps:spPr>
                        <a:xfrm>
                          <a:off x="0" y="0"/>
                          <a:ext cx="5879465" cy="425259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F67406" w:rsidRPr="00D32E1B" w:rsidRDefault="00F67406" w:rsidP="00CB020D">
                            <w:pPr>
                              <w:spacing w:before="0" w:after="0" w:line="240" w:lineRule="auto"/>
                              <w:contextualSpacing/>
                              <w:jc w:val="both"/>
                              <w:rPr>
                                <w:rFonts w:hAnsi="Calibri"/>
                                <w:b/>
                                <w:iCs/>
                                <w:sz w:val="22"/>
                                <w:szCs w:val="24"/>
                                <w:lang w:eastAsia="uz-Cyrl-UZ"/>
                              </w:rPr>
                            </w:pPr>
                            <w:r w:rsidRPr="00D32E1B">
                              <w:rPr>
                                <w:rFonts w:hAnsi="Calibri"/>
                                <w:b/>
                                <w:iCs/>
                                <w:sz w:val="22"/>
                                <w:szCs w:val="24"/>
                                <w:lang w:eastAsia="uz-Cyrl-UZ"/>
                              </w:rPr>
                              <w:t>Samostalni život i uključenost u lokalnu zajednicu</w:t>
                            </w:r>
                          </w:p>
                          <w:p w:rsidR="00F67406" w:rsidRPr="00D32E1B" w:rsidRDefault="00F67406" w:rsidP="00CB020D">
                            <w:pPr>
                              <w:spacing w:before="0" w:after="0" w:line="240" w:lineRule="auto"/>
                              <w:ind w:left="1267"/>
                              <w:contextualSpacing/>
                              <w:jc w:val="both"/>
                              <w:rPr>
                                <w:rFonts w:hAnsi="Calibri"/>
                                <w:iCs/>
                                <w:sz w:val="22"/>
                                <w:szCs w:val="24"/>
                                <w:lang w:eastAsia="uz-Cyrl-UZ"/>
                              </w:rPr>
                            </w:pPr>
                          </w:p>
                          <w:p w:rsidR="00F67406" w:rsidRPr="00D32E1B" w:rsidRDefault="00F67406" w:rsidP="00CB020D">
                            <w:pPr>
                              <w:spacing w:before="0" w:after="0" w:line="240" w:lineRule="auto"/>
                              <w:contextualSpacing/>
                              <w:jc w:val="both"/>
                              <w:rPr>
                                <w:rFonts w:hAnsi="Calibri"/>
                                <w:iCs/>
                                <w:sz w:val="22"/>
                                <w:szCs w:val="24"/>
                                <w:lang w:eastAsia="uz-Cyrl-UZ"/>
                              </w:rPr>
                            </w:pPr>
                            <w:r w:rsidRPr="00D32E1B">
                              <w:rPr>
                                <w:rFonts w:hAnsi="Calibri"/>
                                <w:iCs/>
                                <w:sz w:val="22"/>
                                <w:szCs w:val="24"/>
                                <w:lang w:eastAsia="uz-Cyrl-UZ"/>
                              </w:rPr>
                              <w:t>Države potpisnice ove Konvencije osobama sa invaliditetom priznaju jednako pravo da žive u zajednici i uživaju pravo izbora, jednako sa drugim osobama i preduzeće efektivne i odgovarajuće mjere kako bi olakšale osobama sa invaliditetom da u potpunosti uživaju ovo pravo, omogućile njihovu punu uključenost u zajednicu i učešće u životu zajednice, uključujući preduzimanje mjera kako bi osigurale da:</w:t>
                            </w:r>
                          </w:p>
                          <w:p w:rsidR="00F67406" w:rsidRPr="00D32E1B" w:rsidRDefault="00F67406" w:rsidP="00CB020D">
                            <w:pPr>
                              <w:spacing w:before="0" w:after="0" w:line="240" w:lineRule="auto"/>
                              <w:ind w:left="1267"/>
                              <w:contextualSpacing/>
                              <w:jc w:val="both"/>
                              <w:rPr>
                                <w:rFonts w:hAnsi="Calibri"/>
                                <w:iCs/>
                                <w:sz w:val="22"/>
                                <w:szCs w:val="24"/>
                                <w:lang w:eastAsia="uz-Cyrl-UZ"/>
                              </w:rPr>
                            </w:pPr>
                            <w:r w:rsidRPr="00D32E1B">
                              <w:rPr>
                                <w:rFonts w:hAnsi="Calibri"/>
                                <w:iCs/>
                                <w:sz w:val="22"/>
                                <w:szCs w:val="24"/>
                                <w:lang w:eastAsia="uz-Cyrl-UZ"/>
                              </w:rPr>
                              <w:tab/>
                            </w:r>
                          </w:p>
                          <w:p w:rsidR="00F67406" w:rsidRPr="00D32E1B" w:rsidRDefault="00F67406" w:rsidP="00CB020D">
                            <w:pPr>
                              <w:spacing w:before="0" w:after="0" w:line="240" w:lineRule="auto"/>
                              <w:contextualSpacing/>
                              <w:jc w:val="both"/>
                              <w:rPr>
                                <w:rFonts w:hAnsi="Calibri"/>
                                <w:iCs/>
                                <w:sz w:val="22"/>
                                <w:szCs w:val="24"/>
                                <w:lang w:eastAsia="uz-Cyrl-UZ"/>
                              </w:rPr>
                            </w:pPr>
                            <w:r w:rsidRPr="00D32E1B">
                              <w:rPr>
                                <w:rFonts w:hAnsi="Calibri"/>
                                <w:iCs/>
                                <w:sz w:val="22"/>
                                <w:szCs w:val="24"/>
                                <w:lang w:eastAsia="uz-Cyrl-UZ"/>
                              </w:rPr>
                              <w:t>(a) Osobe sa invaliditetom imaju mogućnost da izaberu mjesto svog prebivališta, sa kim će i gdje će živeti, pod jednakim uslovima sa drugima i neće biti obavezne da žive pod određenim aranžmanima;</w:t>
                            </w:r>
                          </w:p>
                          <w:p w:rsidR="00F67406" w:rsidRPr="00D32E1B" w:rsidRDefault="00F67406" w:rsidP="00CB020D">
                            <w:pPr>
                              <w:spacing w:before="0" w:after="0" w:line="240" w:lineRule="auto"/>
                              <w:ind w:left="1267"/>
                              <w:contextualSpacing/>
                              <w:jc w:val="both"/>
                              <w:rPr>
                                <w:rFonts w:hAnsi="Calibri"/>
                                <w:iCs/>
                                <w:sz w:val="22"/>
                                <w:szCs w:val="24"/>
                                <w:lang w:eastAsia="uz-Cyrl-UZ"/>
                              </w:rPr>
                            </w:pPr>
                          </w:p>
                          <w:p w:rsidR="00F67406" w:rsidRPr="00D32E1B" w:rsidRDefault="00F67406" w:rsidP="00CB020D">
                            <w:pPr>
                              <w:spacing w:before="0" w:after="0" w:line="240" w:lineRule="auto"/>
                              <w:contextualSpacing/>
                              <w:jc w:val="both"/>
                              <w:rPr>
                                <w:rFonts w:hAnsi="Calibri"/>
                                <w:iCs/>
                                <w:sz w:val="22"/>
                                <w:szCs w:val="24"/>
                                <w:lang w:eastAsia="uz-Cyrl-UZ"/>
                              </w:rPr>
                            </w:pPr>
                            <w:r w:rsidRPr="00D32E1B">
                              <w:rPr>
                                <w:rFonts w:hAnsi="Calibri"/>
                                <w:iCs/>
                                <w:sz w:val="22"/>
                                <w:szCs w:val="24"/>
                                <w:lang w:eastAsia="uz-Cyrl-UZ"/>
                              </w:rPr>
                              <w:t>(b) Osobe sa invaliditetom imaju pristup spektru službi podrške u svojim domovima, jedinicama za smještaj i lokalnoj zajednici, uključujući personalne asistente, neophodne radi podrške uključenosti i životu osoba sa invaliditetom u svojim lokalnim zajednicama i sprečavanja izolacije ili isključenosti iz zajednice;</w:t>
                            </w:r>
                          </w:p>
                          <w:p w:rsidR="00F67406" w:rsidRPr="00D32E1B" w:rsidRDefault="00F67406" w:rsidP="00CB020D">
                            <w:pPr>
                              <w:spacing w:before="0" w:after="0" w:line="240" w:lineRule="auto"/>
                              <w:ind w:left="1267"/>
                              <w:contextualSpacing/>
                              <w:jc w:val="both"/>
                              <w:rPr>
                                <w:rFonts w:hAnsi="Calibri"/>
                                <w:iCs/>
                                <w:sz w:val="22"/>
                                <w:szCs w:val="24"/>
                                <w:lang w:eastAsia="uz-Cyrl-UZ"/>
                              </w:rPr>
                            </w:pPr>
                          </w:p>
                          <w:p w:rsidR="00F67406" w:rsidRPr="00D32E1B" w:rsidRDefault="00F67406" w:rsidP="00CB020D">
                            <w:pPr>
                              <w:spacing w:before="0" w:after="0" w:line="240" w:lineRule="auto"/>
                              <w:contextualSpacing/>
                              <w:jc w:val="both"/>
                              <w:rPr>
                                <w:rFonts w:hAnsi="Calibri"/>
                                <w:iCs/>
                                <w:sz w:val="22"/>
                                <w:szCs w:val="24"/>
                                <w:lang w:eastAsia="uz-Cyrl-UZ"/>
                              </w:rPr>
                            </w:pPr>
                            <w:r w:rsidRPr="00D32E1B">
                              <w:rPr>
                                <w:rFonts w:hAnsi="Calibri"/>
                                <w:iCs/>
                                <w:sz w:val="22"/>
                                <w:szCs w:val="24"/>
                                <w:lang w:eastAsia="uz-Cyrl-UZ"/>
                              </w:rPr>
                              <w:t>(c) Usluge u lokalnoj zajednici koje su na raspolaganju opštoj populaciji treba da budu dostupne osobama sa invaliditetom pod jednakim uslovima i da budu u skladu sa potrebama osoba sa invaliditetom.</w:t>
                            </w:r>
                          </w:p>
                          <w:p w:rsidR="00F67406" w:rsidRPr="00D32E1B" w:rsidRDefault="00F67406" w:rsidP="00664D39">
                            <w:pPr>
                              <w:spacing w:before="0" w:after="0" w:line="240" w:lineRule="auto"/>
                              <w:contextualSpacing/>
                              <w:rPr>
                                <w:rFonts w:hAnsi="Calibri"/>
                                <w:iCs/>
                                <w:sz w:val="18"/>
                                <w:szCs w:val="24"/>
                                <w:lang w:eastAsia="uz-Cyrl-UZ"/>
                              </w:rPr>
                            </w:pPr>
                          </w:p>
                          <w:p w:rsidR="00F67406" w:rsidRPr="00D32E1B" w:rsidRDefault="00F67406" w:rsidP="00664D39">
                            <w:pPr>
                              <w:spacing w:before="0" w:after="0" w:line="240" w:lineRule="auto"/>
                              <w:ind w:left="1267"/>
                              <w:contextualSpacing/>
                              <w:jc w:val="right"/>
                              <w:rPr>
                                <w:rFonts w:ascii="Times New Roman" w:eastAsia="Times New Roman" w:hAnsi="Times New Roman" w:cs="Times New Roman"/>
                                <w:sz w:val="22"/>
                                <w:szCs w:val="24"/>
                                <w:lang w:eastAsia="uz-Cyrl-UZ"/>
                              </w:rPr>
                            </w:pPr>
                            <w:r w:rsidRPr="00D32E1B">
                              <w:rPr>
                                <w:rFonts w:hAnsi="Calibri"/>
                                <w:i/>
                                <w:iCs/>
                                <w:sz w:val="22"/>
                                <w:szCs w:val="24"/>
                                <w:lang w:eastAsia="uz-Cyrl-UZ"/>
                              </w:rPr>
                              <w:t>Konvencija o pravima osoba sa invaliditetom, član 19.</w:t>
                            </w:r>
                          </w:p>
                          <w:p w:rsidR="00F67406" w:rsidRPr="009B6FB5" w:rsidRDefault="00F67406" w:rsidP="00664D39">
                            <w:pPr>
                              <w:jc w:val="center"/>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27" style="position:absolute;left:0;text-align:left;margin-left:-.7pt;margin-top:138.7pt;width:462.95pt;height:334.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" fillcolor="white [3201]" strokecolor="#4f81bd [3204]" strokeweight="2pt">
                <v:textbox>
                  <w:txbxContent>
                    <w:p w:rsidR="009B6FB5" w:rsidRPr="00D32E1B" w:rsidRDefault="009B6FB5" w:rsidP="00CB020D">
                      <w:pPr>
                        <w:spacing w:before="0" w:after="0" w:line="240" w:lineRule="auto"/>
                        <w:contextualSpacing/>
                        <w:jc w:val="both"/>
                        <w:rPr>
                          <w:rFonts w:hAnsi="Calibri"/>
                          <w:b/>
                          <w:iCs/>
                          <w:sz w:val="22"/>
                          <w:szCs w:val="24"/>
                          <w:lang w:eastAsia="uz-Cyrl-UZ"/>
                        </w:rPr>
                      </w:pPr>
                      <w:r w:rsidRPr="00D32E1B">
                        <w:rPr>
                          <w:rFonts w:hAnsi="Calibri"/>
                          <w:b/>
                          <w:iCs/>
                          <w:sz w:val="22"/>
                          <w:szCs w:val="24"/>
                          <w:lang w:eastAsia="uz-Cyrl-UZ"/>
                        </w:rPr>
                        <w:t>Samostalni život i uključenost u lokalnu zajednicu</w:t>
                      </w:r>
                    </w:p>
                    <w:p w:rsidR="009B6FB5" w:rsidRPr="00D32E1B" w:rsidRDefault="009B6FB5" w:rsidP="00CB020D">
                      <w:pPr>
                        <w:spacing w:before="0" w:after="0" w:line="240" w:lineRule="auto"/>
                        <w:ind w:left="1267"/>
                        <w:contextualSpacing/>
                        <w:jc w:val="both"/>
                        <w:rPr>
                          <w:rFonts w:hAnsi="Calibri"/>
                          <w:iCs/>
                          <w:sz w:val="22"/>
                          <w:szCs w:val="24"/>
                          <w:lang w:eastAsia="uz-Cyrl-UZ"/>
                        </w:rPr>
                      </w:pPr>
                    </w:p>
                    <w:p w:rsidR="009B6FB5" w:rsidRPr="00D32E1B" w:rsidRDefault="009B6FB5" w:rsidP="00CB020D">
                      <w:pPr>
                        <w:spacing w:before="0" w:after="0" w:line="240" w:lineRule="auto"/>
                        <w:contextualSpacing/>
                        <w:jc w:val="both"/>
                        <w:rPr>
                          <w:rFonts w:hAnsi="Calibri"/>
                          <w:iCs/>
                          <w:sz w:val="22"/>
                          <w:szCs w:val="24"/>
                          <w:lang w:eastAsia="uz-Cyrl-UZ"/>
                        </w:rPr>
                      </w:pPr>
                      <w:r w:rsidRPr="00D32E1B">
                        <w:rPr>
                          <w:rFonts w:hAnsi="Calibri"/>
                          <w:iCs/>
                          <w:sz w:val="22"/>
                          <w:szCs w:val="24"/>
                          <w:lang w:eastAsia="uz-Cyrl-UZ"/>
                        </w:rPr>
                        <w:t>Države potpisnice ove Konvencije osobama sa invaliditetom priznaju jednako pravo da žive u zajednici i uživaju pravo izbora</w:t>
                      </w:r>
                      <w:r w:rsidRPr="00D32E1B">
                        <w:rPr>
                          <w:rFonts w:hAnsi="Calibri"/>
                          <w:iCs/>
                          <w:sz w:val="22"/>
                          <w:szCs w:val="24"/>
                          <w:lang w:val="sr-Latn-ME" w:eastAsia="uz-Cyrl-UZ"/>
                        </w:rPr>
                        <w:t>,</w:t>
                      </w:r>
                      <w:r w:rsidRPr="00D32E1B">
                        <w:rPr>
                          <w:rFonts w:hAnsi="Calibri"/>
                          <w:iCs/>
                          <w:sz w:val="22"/>
                          <w:szCs w:val="24"/>
                          <w:lang w:eastAsia="uz-Cyrl-UZ"/>
                        </w:rPr>
                        <w:t xml:space="preserve"> jednako sa drugim osobama i preduzeće efektivne i odgovarajuće m</w:t>
                      </w:r>
                      <w:r w:rsidRPr="00D32E1B">
                        <w:rPr>
                          <w:rFonts w:hAnsi="Calibri"/>
                          <w:iCs/>
                          <w:sz w:val="22"/>
                          <w:szCs w:val="24"/>
                          <w:lang w:val="sr-Latn-ME" w:eastAsia="uz-Cyrl-UZ"/>
                        </w:rPr>
                        <w:t>j</w:t>
                      </w:r>
                      <w:r w:rsidRPr="00D32E1B">
                        <w:rPr>
                          <w:rFonts w:hAnsi="Calibri"/>
                          <w:iCs/>
                          <w:sz w:val="22"/>
                          <w:szCs w:val="24"/>
                          <w:lang w:eastAsia="uz-Cyrl-UZ"/>
                        </w:rPr>
                        <w:t>ere kako bi olakšale osobama sa invaliditetom da u potpunosti uživaju ovo pravo, omogućile njihovu punu uključenost u zajednicu i učešće u životu zajednice, uključujući preduzimanje m</w:t>
                      </w:r>
                      <w:r w:rsidRPr="00D32E1B">
                        <w:rPr>
                          <w:rFonts w:hAnsi="Calibri"/>
                          <w:iCs/>
                          <w:sz w:val="22"/>
                          <w:szCs w:val="24"/>
                          <w:lang w:val="sr-Latn-ME" w:eastAsia="uz-Cyrl-UZ"/>
                        </w:rPr>
                        <w:t>j</w:t>
                      </w:r>
                      <w:r w:rsidRPr="00D32E1B">
                        <w:rPr>
                          <w:rFonts w:hAnsi="Calibri"/>
                          <w:iCs/>
                          <w:sz w:val="22"/>
                          <w:szCs w:val="24"/>
                          <w:lang w:eastAsia="uz-Cyrl-UZ"/>
                        </w:rPr>
                        <w:t>era kako bi osigurale da:</w:t>
                      </w:r>
                    </w:p>
                    <w:p w:rsidR="009B6FB5" w:rsidRPr="00D32E1B" w:rsidRDefault="009B6FB5" w:rsidP="00CB020D">
                      <w:pPr>
                        <w:spacing w:before="0" w:after="0" w:line="240" w:lineRule="auto"/>
                        <w:ind w:left="1267"/>
                        <w:contextualSpacing/>
                        <w:jc w:val="both"/>
                        <w:rPr>
                          <w:rFonts w:hAnsi="Calibri"/>
                          <w:iCs/>
                          <w:sz w:val="22"/>
                          <w:szCs w:val="24"/>
                          <w:lang w:eastAsia="uz-Cyrl-UZ"/>
                        </w:rPr>
                      </w:pPr>
                      <w:r w:rsidRPr="00D32E1B">
                        <w:rPr>
                          <w:rFonts w:hAnsi="Calibri"/>
                          <w:iCs/>
                          <w:sz w:val="22"/>
                          <w:szCs w:val="24"/>
                          <w:lang w:eastAsia="uz-Cyrl-UZ"/>
                        </w:rPr>
                        <w:tab/>
                      </w:r>
                    </w:p>
                    <w:p w:rsidR="009B6FB5" w:rsidRPr="00D32E1B" w:rsidRDefault="009B6FB5" w:rsidP="00CB020D">
                      <w:pPr>
                        <w:spacing w:before="0" w:after="0" w:line="240" w:lineRule="auto"/>
                        <w:contextualSpacing/>
                        <w:jc w:val="both"/>
                        <w:rPr>
                          <w:rFonts w:hAnsi="Calibri"/>
                          <w:iCs/>
                          <w:sz w:val="22"/>
                          <w:szCs w:val="24"/>
                          <w:lang w:eastAsia="uz-Cyrl-UZ"/>
                        </w:rPr>
                      </w:pPr>
                      <w:r w:rsidRPr="00D32E1B">
                        <w:rPr>
                          <w:rFonts w:hAnsi="Calibri"/>
                          <w:iCs/>
                          <w:sz w:val="22"/>
                          <w:szCs w:val="24"/>
                          <w:lang w:eastAsia="uz-Cyrl-UZ"/>
                        </w:rPr>
                        <w:t>(a) Osobe sa invaliditetom imaju mogućnost da izaberu m</w:t>
                      </w:r>
                      <w:r w:rsidRPr="00D32E1B">
                        <w:rPr>
                          <w:rFonts w:hAnsi="Calibri"/>
                          <w:iCs/>
                          <w:sz w:val="22"/>
                          <w:szCs w:val="24"/>
                          <w:lang w:val="sr-Latn-ME" w:eastAsia="uz-Cyrl-UZ"/>
                        </w:rPr>
                        <w:t>j</w:t>
                      </w:r>
                      <w:r w:rsidRPr="00D32E1B">
                        <w:rPr>
                          <w:rFonts w:hAnsi="Calibri"/>
                          <w:iCs/>
                          <w:sz w:val="22"/>
                          <w:szCs w:val="24"/>
                          <w:lang w:eastAsia="uz-Cyrl-UZ"/>
                        </w:rPr>
                        <w:t>esto svog prebivališta, sa kim će i gd</w:t>
                      </w:r>
                      <w:r w:rsidRPr="00D32E1B">
                        <w:rPr>
                          <w:rFonts w:hAnsi="Calibri"/>
                          <w:iCs/>
                          <w:sz w:val="22"/>
                          <w:szCs w:val="24"/>
                          <w:lang w:val="sr-Latn-ME" w:eastAsia="uz-Cyrl-UZ"/>
                        </w:rPr>
                        <w:t>j</w:t>
                      </w:r>
                      <w:r w:rsidRPr="00D32E1B">
                        <w:rPr>
                          <w:rFonts w:hAnsi="Calibri"/>
                          <w:iCs/>
                          <w:sz w:val="22"/>
                          <w:szCs w:val="24"/>
                          <w:lang w:eastAsia="uz-Cyrl-UZ"/>
                        </w:rPr>
                        <w:t>e će živeti, pod jednakim uslovima sa drugima i neće biti obavezne da žive pod određenim aranžmanima;</w:t>
                      </w:r>
                    </w:p>
                    <w:p w:rsidR="009B6FB5" w:rsidRPr="00D32E1B" w:rsidRDefault="009B6FB5" w:rsidP="00CB020D">
                      <w:pPr>
                        <w:spacing w:before="0" w:after="0" w:line="240" w:lineRule="auto"/>
                        <w:ind w:left="1267"/>
                        <w:contextualSpacing/>
                        <w:jc w:val="both"/>
                        <w:rPr>
                          <w:rFonts w:hAnsi="Calibri"/>
                          <w:iCs/>
                          <w:sz w:val="22"/>
                          <w:szCs w:val="24"/>
                          <w:lang w:eastAsia="uz-Cyrl-UZ"/>
                        </w:rPr>
                      </w:pPr>
                    </w:p>
                    <w:p w:rsidR="009B6FB5" w:rsidRPr="00D32E1B" w:rsidRDefault="009B6FB5" w:rsidP="00CB020D">
                      <w:pPr>
                        <w:spacing w:before="0" w:after="0" w:line="240" w:lineRule="auto"/>
                        <w:contextualSpacing/>
                        <w:jc w:val="both"/>
                        <w:rPr>
                          <w:rFonts w:hAnsi="Calibri"/>
                          <w:iCs/>
                          <w:sz w:val="22"/>
                          <w:szCs w:val="24"/>
                          <w:lang w:eastAsia="uz-Cyrl-UZ"/>
                        </w:rPr>
                      </w:pPr>
                      <w:r w:rsidRPr="00D32E1B">
                        <w:rPr>
                          <w:rFonts w:hAnsi="Calibri"/>
                          <w:iCs/>
                          <w:sz w:val="22"/>
                          <w:szCs w:val="24"/>
                          <w:lang w:eastAsia="uz-Cyrl-UZ"/>
                        </w:rPr>
                        <w:t>(b) Osobe sa invaliditetom imaju pristup spektru službi podrške u svojim domovima, jedinicama za sm</w:t>
                      </w:r>
                      <w:r w:rsidRPr="00D32E1B">
                        <w:rPr>
                          <w:rFonts w:hAnsi="Calibri"/>
                          <w:iCs/>
                          <w:sz w:val="22"/>
                          <w:szCs w:val="24"/>
                          <w:lang w:val="sr-Latn-ME" w:eastAsia="uz-Cyrl-UZ"/>
                        </w:rPr>
                        <w:t>j</w:t>
                      </w:r>
                      <w:r w:rsidRPr="00D32E1B">
                        <w:rPr>
                          <w:rFonts w:hAnsi="Calibri"/>
                          <w:iCs/>
                          <w:sz w:val="22"/>
                          <w:szCs w:val="24"/>
                          <w:lang w:eastAsia="uz-Cyrl-UZ"/>
                        </w:rPr>
                        <w:t>eštaj i lokalnoj zajednici, uključujući personalne asistente, neophodne radi podrške uključenosti i životu osoba sa invaliditetom u svojim lokalnim zajednicama i sprečavanja izolacije ili isključenosti iz zajednice;</w:t>
                      </w:r>
                    </w:p>
                    <w:p w:rsidR="009B6FB5" w:rsidRPr="00D32E1B" w:rsidRDefault="009B6FB5" w:rsidP="00CB020D">
                      <w:pPr>
                        <w:spacing w:before="0" w:after="0" w:line="240" w:lineRule="auto"/>
                        <w:ind w:left="1267"/>
                        <w:contextualSpacing/>
                        <w:jc w:val="both"/>
                        <w:rPr>
                          <w:rFonts w:hAnsi="Calibri"/>
                          <w:iCs/>
                          <w:sz w:val="22"/>
                          <w:szCs w:val="24"/>
                          <w:lang w:eastAsia="uz-Cyrl-UZ"/>
                        </w:rPr>
                      </w:pPr>
                    </w:p>
                    <w:p w:rsidR="009B6FB5" w:rsidRPr="00D32E1B" w:rsidRDefault="009B6FB5" w:rsidP="00CB020D">
                      <w:pPr>
                        <w:spacing w:before="0" w:after="0" w:line="240" w:lineRule="auto"/>
                        <w:contextualSpacing/>
                        <w:jc w:val="both"/>
                        <w:rPr>
                          <w:rFonts w:hAnsi="Calibri"/>
                          <w:iCs/>
                          <w:sz w:val="22"/>
                          <w:szCs w:val="24"/>
                          <w:lang w:eastAsia="uz-Cyrl-UZ"/>
                        </w:rPr>
                      </w:pPr>
                      <w:r w:rsidRPr="00D32E1B">
                        <w:rPr>
                          <w:rFonts w:hAnsi="Calibri"/>
                          <w:iCs/>
                          <w:sz w:val="22"/>
                          <w:szCs w:val="24"/>
                          <w:lang w:eastAsia="uz-Cyrl-UZ"/>
                        </w:rPr>
                        <w:t>(c) Usluge u lokalnoj zajednici koje su na raspolaganju opštoj populaciji treba da budu dostupne osobama sa invaliditetom pod jednakim uslovima i da budu u skladu sa potrebama osoba sa invaliditetom.</w:t>
                      </w:r>
                    </w:p>
                    <w:p w:rsidR="009B6FB5" w:rsidRPr="00D32E1B" w:rsidRDefault="009B6FB5" w:rsidP="00664D39">
                      <w:pPr>
                        <w:spacing w:before="0" w:after="0" w:line="240" w:lineRule="auto"/>
                        <w:contextualSpacing/>
                        <w:rPr>
                          <w:rFonts w:hAnsi="Calibri"/>
                          <w:iCs/>
                          <w:sz w:val="18"/>
                          <w:szCs w:val="24"/>
                          <w:lang w:eastAsia="uz-Cyrl-UZ"/>
                        </w:rPr>
                      </w:pPr>
                    </w:p>
                    <w:p w:rsidR="009B6FB5" w:rsidRPr="00D32E1B" w:rsidRDefault="009B6FB5" w:rsidP="00664D39">
                      <w:pPr>
                        <w:spacing w:before="0" w:after="0" w:line="240" w:lineRule="auto"/>
                        <w:ind w:left="1267"/>
                        <w:contextualSpacing/>
                        <w:jc w:val="right"/>
                        <w:rPr>
                          <w:rFonts w:ascii="Times New Roman" w:eastAsia="Times New Roman" w:hAnsi="Times New Roman" w:cs="Times New Roman"/>
                          <w:sz w:val="22"/>
                          <w:szCs w:val="24"/>
                          <w:lang w:eastAsia="uz-Cyrl-UZ"/>
                        </w:rPr>
                      </w:pPr>
                      <w:r w:rsidRPr="00D32E1B">
                        <w:rPr>
                          <w:rFonts w:hAnsi="Calibri"/>
                          <w:i/>
                          <w:iCs/>
                          <w:sz w:val="22"/>
                          <w:szCs w:val="24"/>
                          <w:lang w:eastAsia="uz-Cyrl-UZ"/>
                        </w:rPr>
                        <w:t>Konvencija o pravima osoba sa invaliditetom, član 19.</w:t>
                      </w:r>
                    </w:p>
                    <w:p w:rsidR="009B6FB5" w:rsidRPr="009B6FB5" w:rsidRDefault="009B6FB5" w:rsidP="00664D39">
                      <w:pPr>
                        <w:jc w:val="center"/>
                        <w:rPr>
                          <w:szCs w:val="24"/>
                        </w:rPr>
                      </w:pPr>
                    </w:p>
                  </w:txbxContent>
                </v:textbox>
                <w10:wrap type="topAndBottom"/>
              </v:roundrect>
            </w:pict>
          </mc:Fallback>
        </mc:AlternateContent>
      </w:r>
      <w:r w:rsidR="009A64BC" w:rsidRPr="00C00F2A">
        <w:rPr>
          <w:sz w:val="22"/>
          <w:szCs w:val="22"/>
        </w:rPr>
        <w:t>Kršenje ljudskih prava ljudi u institucijama bilo je jedan o</w:t>
      </w:r>
      <w:r w:rsidR="003D0222" w:rsidRPr="00C00F2A">
        <w:rPr>
          <w:sz w:val="22"/>
          <w:szCs w:val="22"/>
        </w:rPr>
        <w:t>d</w:t>
      </w:r>
      <w:r w:rsidR="009A64BC" w:rsidRPr="00C00F2A">
        <w:rPr>
          <w:sz w:val="22"/>
          <w:szCs w:val="22"/>
        </w:rPr>
        <w:t xml:space="preserve"> glavnih argumenata za napuštanje ovakvog modela brige o osobama sa mentalnim smetnjama. Iako pr</w:t>
      </w:r>
      <w:r w:rsidR="00F9762E" w:rsidRPr="00C00F2A">
        <w:rPr>
          <w:sz w:val="22"/>
          <w:szCs w:val="22"/>
        </w:rPr>
        <w:t>ij</w:t>
      </w:r>
      <w:r w:rsidR="009A64BC" w:rsidRPr="00C00F2A">
        <w:rPr>
          <w:sz w:val="22"/>
          <w:szCs w:val="22"/>
        </w:rPr>
        <w:t>e Konvencije o pravima osoba sa invaliditetom</w:t>
      </w:r>
      <w:r w:rsidR="00F9762E" w:rsidRPr="00C00F2A">
        <w:rPr>
          <w:sz w:val="22"/>
          <w:szCs w:val="22"/>
        </w:rPr>
        <w:t>,</w:t>
      </w:r>
      <w:r w:rsidR="009A64BC" w:rsidRPr="00C00F2A">
        <w:rPr>
          <w:sz w:val="22"/>
          <w:szCs w:val="22"/>
        </w:rPr>
        <w:t xml:space="preserve"> pravo na život u zajednici nije bilo prepoznato kao posebno pravo, argumenti za proces deinstitucionalizacije mogli su se naći u vezi sa nizom ljudskih prava</w:t>
      </w:r>
      <w:r w:rsidR="00F9762E" w:rsidRPr="00C00F2A">
        <w:rPr>
          <w:sz w:val="22"/>
          <w:szCs w:val="22"/>
        </w:rPr>
        <w:t>,</w:t>
      </w:r>
      <w:r w:rsidR="009A64BC" w:rsidRPr="00C00F2A">
        <w:rPr>
          <w:sz w:val="22"/>
          <w:szCs w:val="22"/>
        </w:rPr>
        <w:t xml:space="preserve"> koja su bila narušena životom u instituciji. Tu se, pr</w:t>
      </w:r>
      <w:r w:rsidR="00F9762E" w:rsidRPr="00C00F2A">
        <w:rPr>
          <w:sz w:val="22"/>
          <w:szCs w:val="22"/>
        </w:rPr>
        <w:t>ij</w:t>
      </w:r>
      <w:r w:rsidR="009A64BC" w:rsidRPr="00C00F2A">
        <w:rPr>
          <w:sz w:val="22"/>
          <w:szCs w:val="22"/>
        </w:rPr>
        <w:t>e svega, ubrajaju pravo na na</w:t>
      </w:r>
      <w:r w:rsidR="00DD4E96" w:rsidRPr="00C00F2A">
        <w:rPr>
          <w:sz w:val="22"/>
          <w:szCs w:val="22"/>
        </w:rPr>
        <w:t>j</w:t>
      </w:r>
      <w:r w:rsidR="009A64BC" w:rsidRPr="00C00F2A">
        <w:rPr>
          <w:sz w:val="22"/>
          <w:szCs w:val="22"/>
        </w:rPr>
        <w:t>viši mogući standard fizičkog i mentalnog zdravlja, pravo na slobodu i bezb</w:t>
      </w:r>
      <w:r w:rsidR="00F9762E" w:rsidRPr="00C00F2A">
        <w:rPr>
          <w:sz w:val="22"/>
          <w:szCs w:val="22"/>
        </w:rPr>
        <w:t>j</w:t>
      </w:r>
      <w:r w:rsidR="009A64BC" w:rsidRPr="00C00F2A">
        <w:rPr>
          <w:sz w:val="22"/>
          <w:szCs w:val="22"/>
        </w:rPr>
        <w:t>ednost, pravo na slobodu od nečov</w:t>
      </w:r>
      <w:r w:rsidR="00F9762E" w:rsidRPr="00C00F2A">
        <w:rPr>
          <w:sz w:val="22"/>
          <w:szCs w:val="22"/>
        </w:rPr>
        <w:t>j</w:t>
      </w:r>
      <w:r w:rsidR="009A64BC" w:rsidRPr="00C00F2A">
        <w:rPr>
          <w:sz w:val="22"/>
          <w:szCs w:val="22"/>
        </w:rPr>
        <w:t>ečnog i ponižavajućeg postupanja, pravo na lični i porodični</w:t>
      </w:r>
      <w:r w:rsidR="008F0EE1" w:rsidRPr="00C00F2A">
        <w:rPr>
          <w:sz w:val="22"/>
          <w:szCs w:val="22"/>
        </w:rPr>
        <w:t xml:space="preserve"> život, pravo na zdravlje, prav</w:t>
      </w:r>
      <w:r w:rsidR="009A64BC" w:rsidRPr="00C00F2A">
        <w:rPr>
          <w:sz w:val="22"/>
          <w:szCs w:val="22"/>
        </w:rPr>
        <w:t>o na jednakost</w:t>
      </w:r>
      <w:r w:rsidR="008F0EE1" w:rsidRPr="00C00F2A">
        <w:rPr>
          <w:sz w:val="22"/>
          <w:szCs w:val="22"/>
        </w:rPr>
        <w:t xml:space="preserve"> pred zakonom</w:t>
      </w:r>
      <w:r w:rsidR="009A64BC" w:rsidRPr="00C00F2A">
        <w:rPr>
          <w:sz w:val="22"/>
          <w:szCs w:val="22"/>
        </w:rPr>
        <w:t xml:space="preserve"> i zabrana diskriminacije.</w:t>
      </w:r>
    </w:p>
    <w:p w:rsidR="00D32E1B" w:rsidRDefault="00D32E1B" w:rsidP="00D32E1B">
      <w:pPr>
        <w:rPr>
          <w:b/>
          <w:sz w:val="22"/>
          <w:szCs w:val="22"/>
        </w:rPr>
      </w:pPr>
    </w:p>
    <w:p w:rsidR="00B03E39" w:rsidRPr="00C00F2A" w:rsidRDefault="005A6730" w:rsidP="000F286D">
      <w:pPr>
        <w:jc w:val="both"/>
        <w:rPr>
          <w:sz w:val="22"/>
          <w:szCs w:val="22"/>
        </w:rPr>
      </w:pPr>
      <w:r w:rsidRPr="00C00F2A">
        <w:rPr>
          <w:b/>
          <w:sz w:val="22"/>
          <w:szCs w:val="22"/>
        </w:rPr>
        <w:t>Konvencija o pravima osoba sa invaliditetom</w:t>
      </w:r>
      <w:r w:rsidRPr="00C00F2A">
        <w:rPr>
          <w:rStyle w:val="FootnoteReference"/>
          <w:b/>
          <w:sz w:val="22"/>
          <w:szCs w:val="22"/>
        </w:rPr>
        <w:footnoteReference w:id="9"/>
      </w:r>
      <w:r w:rsidRPr="00C00F2A">
        <w:rPr>
          <w:b/>
          <w:sz w:val="22"/>
          <w:szCs w:val="22"/>
        </w:rPr>
        <w:t xml:space="preserve"> </w:t>
      </w:r>
      <w:r w:rsidR="00B66819" w:rsidRPr="00C00F2A">
        <w:rPr>
          <w:b/>
          <w:sz w:val="22"/>
          <w:szCs w:val="22"/>
        </w:rPr>
        <w:t>(</w:t>
      </w:r>
      <w:r w:rsidR="00B03E39" w:rsidRPr="00C00F2A">
        <w:rPr>
          <w:b/>
          <w:sz w:val="22"/>
          <w:szCs w:val="22"/>
        </w:rPr>
        <w:t>CRPD</w:t>
      </w:r>
      <w:r w:rsidR="00B66819" w:rsidRPr="00C00F2A">
        <w:rPr>
          <w:b/>
          <w:sz w:val="22"/>
          <w:szCs w:val="22"/>
        </w:rPr>
        <w:t>)</w:t>
      </w:r>
      <w:r w:rsidR="00B03E39" w:rsidRPr="00C00F2A">
        <w:rPr>
          <w:sz w:val="22"/>
          <w:szCs w:val="22"/>
        </w:rPr>
        <w:t xml:space="preserve"> je prvi obavezujući međunarodni ugovor u kojem je </w:t>
      </w:r>
      <w:r w:rsidR="008F0EE1" w:rsidRPr="00C00F2A">
        <w:rPr>
          <w:sz w:val="22"/>
          <w:szCs w:val="22"/>
        </w:rPr>
        <w:t>pravo na život u zajednici istaknuto kao posebno pravo</w:t>
      </w:r>
      <w:r w:rsidRPr="00C00F2A">
        <w:rPr>
          <w:sz w:val="22"/>
          <w:szCs w:val="22"/>
        </w:rPr>
        <w:t xml:space="preserve">. </w:t>
      </w:r>
      <w:r w:rsidR="00496147" w:rsidRPr="00C00F2A">
        <w:rPr>
          <w:sz w:val="22"/>
          <w:szCs w:val="22"/>
        </w:rPr>
        <w:t>Član 19</w:t>
      </w:r>
      <w:r w:rsidR="00B66819" w:rsidRPr="00C00F2A">
        <w:rPr>
          <w:sz w:val="22"/>
          <w:szCs w:val="22"/>
        </w:rPr>
        <w:t xml:space="preserve"> utvrđuje pravo osoba sa invaliditetom da „žive u zajednici sa pravom izbora koji je jednak</w:t>
      </w:r>
      <w:r w:rsidR="003D0222" w:rsidRPr="00C00F2A">
        <w:rPr>
          <w:sz w:val="22"/>
          <w:szCs w:val="22"/>
        </w:rPr>
        <w:t xml:space="preserve"> </w:t>
      </w:r>
      <w:r w:rsidR="00B66819" w:rsidRPr="00C00F2A">
        <w:rPr>
          <w:sz w:val="22"/>
          <w:szCs w:val="22"/>
        </w:rPr>
        <w:t>kao svima drugima“ i zaht</w:t>
      </w:r>
      <w:r w:rsidR="00F415E6" w:rsidRPr="00C00F2A">
        <w:rPr>
          <w:sz w:val="22"/>
          <w:szCs w:val="22"/>
        </w:rPr>
        <w:t>ij</w:t>
      </w:r>
      <w:r w:rsidR="00B66819" w:rsidRPr="00C00F2A">
        <w:rPr>
          <w:sz w:val="22"/>
          <w:szCs w:val="22"/>
        </w:rPr>
        <w:t xml:space="preserve">eva od država ugovornica da razviju „niz kućnih, rezidencijalnih i drugih usluga za podršku u zajednici, uključujući i ličnu pomoć potrebnu za život i uključenje u zajednicu, </w:t>
      </w:r>
      <w:r w:rsidR="00664D39" w:rsidRPr="00C00F2A">
        <w:rPr>
          <w:sz w:val="22"/>
          <w:szCs w:val="22"/>
        </w:rPr>
        <w:t>i da spr</w:t>
      </w:r>
      <w:r w:rsidR="00F415E6" w:rsidRPr="00C00F2A">
        <w:rPr>
          <w:sz w:val="22"/>
          <w:szCs w:val="22"/>
        </w:rPr>
        <w:t>ij</w:t>
      </w:r>
      <w:r w:rsidR="00664D39" w:rsidRPr="00C00F2A">
        <w:rPr>
          <w:sz w:val="22"/>
          <w:szCs w:val="22"/>
        </w:rPr>
        <w:t>eče izolaciju i izopštavanje</w:t>
      </w:r>
      <w:r w:rsidR="00B66819" w:rsidRPr="00C00F2A">
        <w:rPr>
          <w:sz w:val="22"/>
          <w:szCs w:val="22"/>
        </w:rPr>
        <w:t>“</w:t>
      </w:r>
      <w:r w:rsidR="00664D39" w:rsidRPr="00C00F2A">
        <w:rPr>
          <w:sz w:val="22"/>
          <w:szCs w:val="22"/>
        </w:rPr>
        <w:t>.</w:t>
      </w:r>
      <w:r w:rsidR="00650AC6" w:rsidRPr="00C00F2A">
        <w:rPr>
          <w:sz w:val="22"/>
          <w:szCs w:val="22"/>
        </w:rPr>
        <w:t xml:space="preserve"> Njegova tri ključna </w:t>
      </w:r>
      <w:r w:rsidR="00650AC6" w:rsidRPr="00C00F2A">
        <w:rPr>
          <w:sz w:val="22"/>
          <w:szCs w:val="22"/>
        </w:rPr>
        <w:lastRenderedPageBreak/>
        <w:t>elementa su: izbor; individualizovana podrška koja promoviše inkluziju i sprečava izolaciju; i prilagođavanje usluga za opšte stanovništvo</w:t>
      </w:r>
      <w:r w:rsidR="00F415E6" w:rsidRPr="00C00F2A">
        <w:rPr>
          <w:sz w:val="22"/>
          <w:szCs w:val="22"/>
        </w:rPr>
        <w:t>,</w:t>
      </w:r>
      <w:r w:rsidR="00650AC6" w:rsidRPr="00C00F2A">
        <w:rPr>
          <w:sz w:val="22"/>
          <w:szCs w:val="22"/>
        </w:rPr>
        <w:t xml:space="preserve"> tako da budu dostupne osobama sa invaliditetom. </w:t>
      </w:r>
    </w:p>
    <w:p w:rsidR="00521453" w:rsidRPr="00C00F2A" w:rsidRDefault="00010BC6" w:rsidP="000F286D">
      <w:pPr>
        <w:jc w:val="both"/>
        <w:rPr>
          <w:sz w:val="22"/>
          <w:szCs w:val="22"/>
        </w:rPr>
      </w:pPr>
      <w:r w:rsidRPr="00C00F2A">
        <w:rPr>
          <w:sz w:val="22"/>
          <w:szCs w:val="22"/>
        </w:rPr>
        <w:t>Pr</w:t>
      </w:r>
      <w:r w:rsidR="00F415E6" w:rsidRPr="00C00F2A">
        <w:rPr>
          <w:sz w:val="22"/>
          <w:szCs w:val="22"/>
        </w:rPr>
        <w:t>ij</w:t>
      </w:r>
      <w:r w:rsidRPr="00C00F2A">
        <w:rPr>
          <w:sz w:val="22"/>
          <w:szCs w:val="22"/>
        </w:rPr>
        <w:t>e usvajanja Konvencije o pravima osoba sa invaliditetom</w:t>
      </w:r>
      <w:r w:rsidR="00F415E6" w:rsidRPr="00C00F2A">
        <w:rPr>
          <w:sz w:val="22"/>
          <w:szCs w:val="22"/>
        </w:rPr>
        <w:t>,</w:t>
      </w:r>
      <w:r w:rsidRPr="00C00F2A">
        <w:rPr>
          <w:sz w:val="22"/>
          <w:szCs w:val="22"/>
        </w:rPr>
        <w:t xml:space="preserve"> argumenti za deinstitucionalizaciju mogli su se naći u </w:t>
      </w:r>
      <w:r w:rsidRPr="00C00F2A">
        <w:rPr>
          <w:b/>
          <w:sz w:val="22"/>
          <w:szCs w:val="22"/>
        </w:rPr>
        <w:t>Evropskoj konvenciji o ljudskim pravima</w:t>
      </w:r>
      <w:r w:rsidR="00DD4E96" w:rsidRPr="00C00F2A">
        <w:rPr>
          <w:rStyle w:val="FootnoteReference"/>
          <w:b/>
          <w:sz w:val="22"/>
          <w:szCs w:val="22"/>
        </w:rPr>
        <w:footnoteReference w:id="10"/>
      </w:r>
      <w:r w:rsidRPr="00C00F2A">
        <w:rPr>
          <w:sz w:val="22"/>
          <w:szCs w:val="22"/>
        </w:rPr>
        <w:t xml:space="preserve"> i to u članu 3</w:t>
      </w:r>
      <w:r w:rsidR="003D0222" w:rsidRPr="00C00F2A">
        <w:rPr>
          <w:sz w:val="22"/>
          <w:szCs w:val="22"/>
        </w:rPr>
        <w:t>,</w:t>
      </w:r>
      <w:r w:rsidRPr="00C00F2A">
        <w:rPr>
          <w:sz w:val="22"/>
          <w:szCs w:val="22"/>
        </w:rPr>
        <w:t xml:space="preserve"> koji kaže da „niko ne sm</w:t>
      </w:r>
      <w:r w:rsidR="00F415E6" w:rsidRPr="00C00F2A">
        <w:rPr>
          <w:sz w:val="22"/>
          <w:szCs w:val="22"/>
        </w:rPr>
        <w:t>ij</w:t>
      </w:r>
      <w:r w:rsidRPr="00C00F2A">
        <w:rPr>
          <w:sz w:val="22"/>
          <w:szCs w:val="22"/>
        </w:rPr>
        <w:t>e biti podvrgnut mučenju ili nečov</w:t>
      </w:r>
      <w:r w:rsidR="00F415E6" w:rsidRPr="00C00F2A">
        <w:rPr>
          <w:sz w:val="22"/>
          <w:szCs w:val="22"/>
        </w:rPr>
        <w:t>j</w:t>
      </w:r>
      <w:r w:rsidRPr="00C00F2A">
        <w:rPr>
          <w:sz w:val="22"/>
          <w:szCs w:val="22"/>
        </w:rPr>
        <w:t>ečnom ili ponižavajućem postupanju ili kažnjavanju“, i to bez izuzetka. Deinstitucionalizacija se, takođe, dovodi u vezu sa članom 8 Konvencije kojim se garantuje pravo na poštovanje ličnog i porodičnog život</w:t>
      </w:r>
      <w:r w:rsidR="00B04C70" w:rsidRPr="00C00F2A">
        <w:rPr>
          <w:sz w:val="22"/>
          <w:szCs w:val="22"/>
        </w:rPr>
        <w:t>a, kao i da svako m</w:t>
      </w:r>
      <w:r w:rsidR="00474A0D" w:rsidRPr="00C00F2A">
        <w:rPr>
          <w:sz w:val="22"/>
          <w:szCs w:val="22"/>
        </w:rPr>
        <w:t>ij</w:t>
      </w:r>
      <w:r w:rsidR="00B04C70" w:rsidRPr="00C00F2A">
        <w:rPr>
          <w:sz w:val="22"/>
          <w:szCs w:val="22"/>
        </w:rPr>
        <w:t>ešanje u to pravo mora biti neophodno i srazm</w:t>
      </w:r>
      <w:r w:rsidR="00474A0D" w:rsidRPr="00C00F2A">
        <w:rPr>
          <w:sz w:val="22"/>
          <w:szCs w:val="22"/>
        </w:rPr>
        <w:t>j</w:t>
      </w:r>
      <w:r w:rsidR="00B04C70" w:rsidRPr="00C00F2A">
        <w:rPr>
          <w:sz w:val="22"/>
          <w:szCs w:val="22"/>
        </w:rPr>
        <w:t>erno.</w:t>
      </w:r>
    </w:p>
    <w:p w:rsidR="00650AC6" w:rsidRPr="00C00F2A" w:rsidRDefault="00650AC6" w:rsidP="00521453">
      <w:pPr>
        <w:rPr>
          <w:sz w:val="22"/>
          <w:szCs w:val="22"/>
        </w:rPr>
      </w:pPr>
    </w:p>
    <w:p w:rsidR="00457A28" w:rsidRPr="00C00F2A" w:rsidRDefault="005C3F3F" w:rsidP="004C0F1B">
      <w:pPr>
        <w:pStyle w:val="Heading3"/>
      </w:pPr>
      <w:bookmarkStart w:id="15" w:name="_Toc473540823"/>
      <w:r w:rsidRPr="00C00F2A">
        <w:t>P</w:t>
      </w:r>
      <w:r w:rsidR="00457A28" w:rsidRPr="00C00F2A">
        <w:t>ravo na život u zajednici i poslovna sposobnost</w:t>
      </w:r>
      <w:bookmarkEnd w:id="15"/>
    </w:p>
    <w:p w:rsidR="00CC4BC1" w:rsidRPr="00C00F2A" w:rsidRDefault="00835926" w:rsidP="000F286D">
      <w:pPr>
        <w:jc w:val="both"/>
        <w:rPr>
          <w:sz w:val="22"/>
          <w:szCs w:val="22"/>
        </w:rPr>
      </w:pPr>
      <w:r w:rsidRPr="00C00F2A">
        <w:rPr>
          <w:sz w:val="22"/>
          <w:szCs w:val="22"/>
        </w:rPr>
        <w:t>Pravo na život u zajednici</w:t>
      </w:r>
      <w:r w:rsidR="008F0EE1" w:rsidRPr="00C00F2A">
        <w:rPr>
          <w:sz w:val="22"/>
          <w:szCs w:val="22"/>
        </w:rPr>
        <w:t>,</w:t>
      </w:r>
      <w:r w:rsidRPr="00C00F2A">
        <w:rPr>
          <w:sz w:val="22"/>
          <w:szCs w:val="22"/>
        </w:rPr>
        <w:t xml:space="preserve"> </w:t>
      </w:r>
      <w:r w:rsidR="008F0EE1" w:rsidRPr="00C00F2A">
        <w:rPr>
          <w:sz w:val="22"/>
          <w:szCs w:val="22"/>
        </w:rPr>
        <w:t>koje podrazum</w:t>
      </w:r>
      <w:r w:rsidR="00474A0D" w:rsidRPr="00C00F2A">
        <w:rPr>
          <w:sz w:val="22"/>
          <w:szCs w:val="22"/>
        </w:rPr>
        <w:t>ij</w:t>
      </w:r>
      <w:r w:rsidR="008F0EE1" w:rsidRPr="00C00F2A">
        <w:rPr>
          <w:sz w:val="22"/>
          <w:szCs w:val="22"/>
        </w:rPr>
        <w:t xml:space="preserve">eva </w:t>
      </w:r>
      <w:r w:rsidRPr="00C00F2A">
        <w:rPr>
          <w:sz w:val="22"/>
          <w:szCs w:val="22"/>
        </w:rPr>
        <w:t>proces deinsitucionalizacije</w:t>
      </w:r>
      <w:r w:rsidR="008F0EE1" w:rsidRPr="00C00F2A">
        <w:rPr>
          <w:sz w:val="22"/>
          <w:szCs w:val="22"/>
        </w:rPr>
        <w:t>,</w:t>
      </w:r>
      <w:r w:rsidRPr="00C00F2A">
        <w:rPr>
          <w:sz w:val="22"/>
          <w:szCs w:val="22"/>
        </w:rPr>
        <w:t xml:space="preserve"> t</w:t>
      </w:r>
      <w:r w:rsidR="00474A0D" w:rsidRPr="00C00F2A">
        <w:rPr>
          <w:sz w:val="22"/>
          <w:szCs w:val="22"/>
        </w:rPr>
        <w:t>ij</w:t>
      </w:r>
      <w:r w:rsidRPr="00C00F2A">
        <w:rPr>
          <w:sz w:val="22"/>
          <w:szCs w:val="22"/>
        </w:rPr>
        <w:t>esno je povezano sa ravnopravnim priznanjem lica pred zakonom, pravo garantovano članom 12 Konvencije o pravima osoba sa invaliditetom. Naime, postoji bliska veza između starateljstva i institucionalizacije, jer s</w:t>
      </w:r>
      <w:r w:rsidR="008F705C" w:rsidRPr="00C00F2A">
        <w:rPr>
          <w:sz w:val="22"/>
          <w:szCs w:val="22"/>
        </w:rPr>
        <w:t>e</w:t>
      </w:r>
      <w:r w:rsidRPr="00C00F2A">
        <w:rPr>
          <w:sz w:val="22"/>
          <w:szCs w:val="22"/>
        </w:rPr>
        <w:t xml:space="preserve"> mnoga lica koja se dugi niz godina nalaze u institucijama</w:t>
      </w:r>
      <w:r w:rsidR="00E501E1" w:rsidRPr="00C00F2A">
        <w:rPr>
          <w:sz w:val="22"/>
          <w:szCs w:val="22"/>
        </w:rPr>
        <w:t>,</w:t>
      </w:r>
      <w:r w:rsidRPr="00C00F2A">
        <w:rPr>
          <w:sz w:val="22"/>
          <w:szCs w:val="22"/>
        </w:rPr>
        <w:t xml:space="preserve"> </w:t>
      </w:r>
      <w:r w:rsidR="008F705C" w:rsidRPr="00C00F2A">
        <w:rPr>
          <w:sz w:val="22"/>
          <w:szCs w:val="22"/>
        </w:rPr>
        <w:t xml:space="preserve">nalaze </w:t>
      </w:r>
      <w:r w:rsidRPr="00C00F2A">
        <w:rPr>
          <w:sz w:val="22"/>
          <w:szCs w:val="22"/>
        </w:rPr>
        <w:t>pod starateljstvom srodnika ili centara za socijalni rad. Činjenica da osobe pod starateljstvom nisu u mogućnosti da donesu nikakvu važniju odluku u životu, uključujući gd</w:t>
      </w:r>
      <w:r w:rsidR="00E501E1" w:rsidRPr="00C00F2A">
        <w:rPr>
          <w:sz w:val="22"/>
          <w:szCs w:val="22"/>
        </w:rPr>
        <w:t>j</w:t>
      </w:r>
      <w:r w:rsidRPr="00C00F2A">
        <w:rPr>
          <w:sz w:val="22"/>
          <w:szCs w:val="22"/>
        </w:rPr>
        <w:t>e, kako i sa kim žele da žive, ukazuje da ovakav sistem narušava pravo na život u zajednici. Evropski sud za ljudska prava ukazao je na problematičnu praksu sm</w:t>
      </w:r>
      <w:r w:rsidR="00E501E1" w:rsidRPr="00C00F2A">
        <w:rPr>
          <w:sz w:val="22"/>
          <w:szCs w:val="22"/>
        </w:rPr>
        <w:t>ještaja osoba u insti</w:t>
      </w:r>
      <w:r w:rsidRPr="00C00F2A">
        <w:rPr>
          <w:sz w:val="22"/>
          <w:szCs w:val="22"/>
        </w:rPr>
        <w:t>tuciju uz saglasnost staratelja</w:t>
      </w:r>
      <w:r w:rsidR="00CF7BD5" w:rsidRPr="00C00F2A">
        <w:rPr>
          <w:sz w:val="22"/>
          <w:szCs w:val="22"/>
        </w:rPr>
        <w:t xml:space="preserve"> i odlučio da sistemi treba više da vrednuju odluke osobe o kojoj je r</w:t>
      </w:r>
      <w:r w:rsidR="00E501E1" w:rsidRPr="00C00F2A">
        <w:rPr>
          <w:sz w:val="22"/>
          <w:szCs w:val="22"/>
        </w:rPr>
        <w:t>ij</w:t>
      </w:r>
      <w:r w:rsidR="00CF7BD5" w:rsidRPr="00C00F2A">
        <w:rPr>
          <w:sz w:val="22"/>
          <w:szCs w:val="22"/>
        </w:rPr>
        <w:t>eč.</w:t>
      </w:r>
      <w:r w:rsidR="00CF7BD5" w:rsidRPr="00C00F2A">
        <w:rPr>
          <w:rStyle w:val="FootnoteReference"/>
          <w:sz w:val="22"/>
          <w:szCs w:val="22"/>
        </w:rPr>
        <w:footnoteReference w:id="11"/>
      </w:r>
    </w:p>
    <w:p w:rsidR="00095B66" w:rsidRPr="00C00F2A" w:rsidRDefault="00095B66" w:rsidP="000F286D">
      <w:pPr>
        <w:jc w:val="both"/>
        <w:rPr>
          <w:sz w:val="22"/>
          <w:szCs w:val="22"/>
        </w:rPr>
      </w:pPr>
      <w:r w:rsidRPr="00C00F2A">
        <w:rPr>
          <w:sz w:val="22"/>
          <w:szCs w:val="22"/>
        </w:rPr>
        <w:t>U objavljenom tematskom dokumentu</w:t>
      </w:r>
      <w:r w:rsidRPr="00C00F2A">
        <w:rPr>
          <w:rStyle w:val="FootnoteReference"/>
          <w:sz w:val="22"/>
          <w:szCs w:val="22"/>
        </w:rPr>
        <w:footnoteReference w:id="12"/>
      </w:r>
      <w:r w:rsidRPr="00C00F2A">
        <w:rPr>
          <w:sz w:val="22"/>
          <w:szCs w:val="22"/>
        </w:rPr>
        <w:t xml:space="preserve"> bivšeg Komesara za ljudska prava Saveta Evrope, Tomasa Hamarberga, državama ugovornicama je preporučeno da prekinu sa </w:t>
      </w:r>
      <w:r w:rsidR="008F705C" w:rsidRPr="00C00F2A">
        <w:rPr>
          <w:sz w:val="22"/>
          <w:szCs w:val="22"/>
        </w:rPr>
        <w:t>„</w:t>
      </w:r>
      <w:r w:rsidRPr="00C00F2A">
        <w:rPr>
          <w:sz w:val="22"/>
          <w:szCs w:val="22"/>
        </w:rPr>
        <w:t>dobrovoljni</w:t>
      </w:r>
      <w:r w:rsidR="008F705C" w:rsidRPr="00C00F2A">
        <w:rPr>
          <w:sz w:val="22"/>
          <w:szCs w:val="22"/>
        </w:rPr>
        <w:t>m“ s</w:t>
      </w:r>
      <w:r w:rsidRPr="00C00F2A">
        <w:rPr>
          <w:sz w:val="22"/>
          <w:szCs w:val="22"/>
        </w:rPr>
        <w:t>m</w:t>
      </w:r>
      <w:r w:rsidR="00E501E1" w:rsidRPr="00C00F2A">
        <w:rPr>
          <w:sz w:val="22"/>
          <w:szCs w:val="22"/>
        </w:rPr>
        <w:t>j</w:t>
      </w:r>
      <w:r w:rsidRPr="00C00F2A">
        <w:rPr>
          <w:sz w:val="22"/>
          <w:szCs w:val="22"/>
        </w:rPr>
        <w:t>eštanjem osoba u zatvorene bolnice i ustanove socijalne zaštite protiv volje te osobe</w:t>
      </w:r>
      <w:r w:rsidR="003D0222" w:rsidRPr="00C00F2A">
        <w:rPr>
          <w:sz w:val="22"/>
          <w:szCs w:val="22"/>
        </w:rPr>
        <w:t>,</w:t>
      </w:r>
      <w:r w:rsidRPr="00C00F2A">
        <w:rPr>
          <w:sz w:val="22"/>
          <w:szCs w:val="22"/>
        </w:rPr>
        <w:t xml:space="preserve"> a uz saglasnost staratelja ili pravnih zastupnika. Sm</w:t>
      </w:r>
      <w:r w:rsidR="00E501E1" w:rsidRPr="00C00F2A">
        <w:rPr>
          <w:sz w:val="22"/>
          <w:szCs w:val="22"/>
        </w:rPr>
        <w:t>j</w:t>
      </w:r>
      <w:r w:rsidRPr="00C00F2A">
        <w:rPr>
          <w:sz w:val="22"/>
          <w:szCs w:val="22"/>
        </w:rPr>
        <w:t>eštaj u ustanove zatvorenog tipa bez saglasnosti te osobe uv</w:t>
      </w:r>
      <w:r w:rsidR="00E501E1" w:rsidRPr="00C00F2A">
        <w:rPr>
          <w:sz w:val="22"/>
          <w:szCs w:val="22"/>
        </w:rPr>
        <w:t>ij</w:t>
      </w:r>
      <w:r w:rsidRPr="00C00F2A">
        <w:rPr>
          <w:sz w:val="22"/>
          <w:szCs w:val="22"/>
        </w:rPr>
        <w:t>ek treba smatrati lišavanjem slobode i podvrgavati kontroli u skladu sa članom 5 Evropske konvencije o ljudskim pravima</w:t>
      </w:r>
      <w:r w:rsidR="008F705C" w:rsidRPr="00C00F2A">
        <w:rPr>
          <w:sz w:val="22"/>
          <w:szCs w:val="22"/>
        </w:rPr>
        <w:t>“</w:t>
      </w:r>
      <w:r w:rsidRPr="00C00F2A">
        <w:rPr>
          <w:sz w:val="22"/>
          <w:szCs w:val="22"/>
        </w:rPr>
        <w:t>.</w:t>
      </w:r>
    </w:p>
    <w:p w:rsidR="007E5F16" w:rsidRPr="00C00F2A" w:rsidRDefault="00C7343B" w:rsidP="000F286D">
      <w:pPr>
        <w:jc w:val="both"/>
        <w:rPr>
          <w:sz w:val="22"/>
          <w:szCs w:val="22"/>
        </w:rPr>
      </w:pPr>
      <w:r w:rsidRPr="00C00F2A">
        <w:rPr>
          <w:sz w:val="22"/>
          <w:szCs w:val="22"/>
        </w:rPr>
        <w:t>Takođe, priznanje poslovne sposobnosti je od velikog značaja za proces deinstitucionalizacije</w:t>
      </w:r>
      <w:r w:rsidR="00B702C2" w:rsidRPr="00C00F2A">
        <w:rPr>
          <w:sz w:val="22"/>
          <w:szCs w:val="22"/>
        </w:rPr>
        <w:t>,</w:t>
      </w:r>
      <w:r w:rsidRPr="00C00F2A">
        <w:rPr>
          <w:sz w:val="22"/>
          <w:szCs w:val="22"/>
        </w:rPr>
        <w:t xml:space="preserve"> s obzirom da život u zajednici podrazum</w:t>
      </w:r>
      <w:r w:rsidR="00B702C2" w:rsidRPr="00C00F2A">
        <w:rPr>
          <w:sz w:val="22"/>
          <w:szCs w:val="22"/>
        </w:rPr>
        <w:t>ij</w:t>
      </w:r>
      <w:r w:rsidRPr="00C00F2A">
        <w:rPr>
          <w:sz w:val="22"/>
          <w:szCs w:val="22"/>
        </w:rPr>
        <w:t>eva donošenje odluka od značaja za život osobe u različitim oblastima. Razvijanj</w:t>
      </w:r>
      <w:r w:rsidR="0074319D" w:rsidRPr="00C00F2A">
        <w:rPr>
          <w:sz w:val="22"/>
          <w:szCs w:val="22"/>
        </w:rPr>
        <w:t>e</w:t>
      </w:r>
      <w:r w:rsidRPr="00C00F2A">
        <w:rPr>
          <w:sz w:val="22"/>
          <w:szCs w:val="22"/>
        </w:rPr>
        <w:t xml:space="preserve"> usluga pružanja podrške u odlučivanju</w:t>
      </w:r>
      <w:r w:rsidR="00B702C2" w:rsidRPr="00C00F2A">
        <w:rPr>
          <w:sz w:val="22"/>
          <w:szCs w:val="22"/>
        </w:rPr>
        <w:t>,</w:t>
      </w:r>
      <w:r w:rsidRPr="00C00F2A">
        <w:rPr>
          <w:sz w:val="22"/>
          <w:szCs w:val="22"/>
        </w:rPr>
        <w:t xml:space="preserve"> stoga</w:t>
      </w:r>
      <w:r w:rsidR="00B702C2" w:rsidRPr="00C00F2A">
        <w:rPr>
          <w:sz w:val="22"/>
          <w:szCs w:val="22"/>
        </w:rPr>
        <w:t>,</w:t>
      </w:r>
      <w:r w:rsidRPr="00C00F2A">
        <w:rPr>
          <w:sz w:val="22"/>
          <w:szCs w:val="22"/>
        </w:rPr>
        <w:t xml:space="preserve"> </w:t>
      </w:r>
      <w:r w:rsidR="00B702C2" w:rsidRPr="00C00F2A">
        <w:rPr>
          <w:sz w:val="22"/>
          <w:szCs w:val="22"/>
        </w:rPr>
        <w:t>treba da predstavlja sastavni di</w:t>
      </w:r>
      <w:r w:rsidRPr="00C00F2A">
        <w:rPr>
          <w:sz w:val="22"/>
          <w:szCs w:val="22"/>
        </w:rPr>
        <w:t>o ovog procesa. O tome, na prim</w:t>
      </w:r>
      <w:r w:rsidR="00B702C2" w:rsidRPr="00C00F2A">
        <w:rPr>
          <w:sz w:val="22"/>
          <w:szCs w:val="22"/>
        </w:rPr>
        <w:t>j</w:t>
      </w:r>
      <w:r w:rsidRPr="00C00F2A">
        <w:rPr>
          <w:sz w:val="22"/>
          <w:szCs w:val="22"/>
        </w:rPr>
        <w:t>er, sv</w:t>
      </w:r>
      <w:r w:rsidR="00795021" w:rsidRPr="00C00F2A">
        <w:rPr>
          <w:sz w:val="22"/>
          <w:szCs w:val="22"/>
        </w:rPr>
        <w:t>j</w:t>
      </w:r>
      <w:r w:rsidRPr="00C00F2A">
        <w:rPr>
          <w:sz w:val="22"/>
          <w:szCs w:val="22"/>
        </w:rPr>
        <w:t>edoče rezultati usluge Aktivna podrška u zajednici</w:t>
      </w:r>
      <w:r w:rsidR="00B702C2" w:rsidRPr="00C00F2A">
        <w:rPr>
          <w:sz w:val="22"/>
          <w:szCs w:val="22"/>
        </w:rPr>
        <w:t>,</w:t>
      </w:r>
      <w:r w:rsidRPr="00C00F2A">
        <w:rPr>
          <w:sz w:val="22"/>
          <w:szCs w:val="22"/>
        </w:rPr>
        <w:t xml:space="preserve"> koju pruža Globalna inicijativa u psihijatriji – Sofija iz Bugarske. </w:t>
      </w:r>
      <w:r w:rsidR="0074319D" w:rsidRPr="00A31FAC">
        <w:rPr>
          <w:b/>
          <w:sz w:val="22"/>
          <w:szCs w:val="22"/>
        </w:rPr>
        <w:t>P</w:t>
      </w:r>
      <w:r w:rsidRPr="00A31FAC">
        <w:rPr>
          <w:b/>
          <w:sz w:val="22"/>
          <w:szCs w:val="22"/>
        </w:rPr>
        <w:t>odrška u donošenju odluka</w:t>
      </w:r>
      <w:r w:rsidR="00CF2A37" w:rsidRPr="00A31FAC">
        <w:rPr>
          <w:b/>
          <w:sz w:val="22"/>
          <w:szCs w:val="22"/>
        </w:rPr>
        <w:t xml:space="preserve"> </w:t>
      </w:r>
      <w:r w:rsidR="0074319D" w:rsidRPr="00A31FAC">
        <w:rPr>
          <w:b/>
          <w:sz w:val="22"/>
          <w:szCs w:val="22"/>
        </w:rPr>
        <w:t>koja se pruža u okviru usluge Aktivna podrška u zajednici</w:t>
      </w:r>
      <w:r w:rsidR="00B702C2" w:rsidRPr="00A31FAC">
        <w:rPr>
          <w:b/>
          <w:sz w:val="22"/>
          <w:szCs w:val="22"/>
        </w:rPr>
        <w:t>,</w:t>
      </w:r>
      <w:r w:rsidR="0074319D" w:rsidRPr="00A31FAC">
        <w:rPr>
          <w:b/>
          <w:sz w:val="22"/>
          <w:szCs w:val="22"/>
        </w:rPr>
        <w:t xml:space="preserve"> </w:t>
      </w:r>
      <w:r w:rsidRPr="00A31FAC">
        <w:rPr>
          <w:b/>
          <w:sz w:val="22"/>
          <w:szCs w:val="22"/>
        </w:rPr>
        <w:t>doprin</w:t>
      </w:r>
      <w:r w:rsidR="00B702C2" w:rsidRPr="00A31FAC">
        <w:rPr>
          <w:b/>
          <w:sz w:val="22"/>
          <w:szCs w:val="22"/>
        </w:rPr>
        <w:t>ij</w:t>
      </w:r>
      <w:r w:rsidRPr="00A31FAC">
        <w:rPr>
          <w:b/>
          <w:sz w:val="22"/>
          <w:szCs w:val="22"/>
        </w:rPr>
        <w:t xml:space="preserve">ela je smanjenju broja pogoršanja psihičkog stanja i potrebe za prisilnom </w:t>
      </w:r>
      <w:r w:rsidRPr="00A31FAC">
        <w:rPr>
          <w:b/>
          <w:sz w:val="22"/>
          <w:szCs w:val="22"/>
        </w:rPr>
        <w:lastRenderedPageBreak/>
        <w:t>hospitalizacijom</w:t>
      </w:r>
      <w:r w:rsidRPr="00C00F2A">
        <w:rPr>
          <w:sz w:val="22"/>
          <w:szCs w:val="22"/>
        </w:rPr>
        <w:t>, pri čemu su korisnici usluge steklli v</w:t>
      </w:r>
      <w:r w:rsidR="00B702C2" w:rsidRPr="00C00F2A">
        <w:rPr>
          <w:sz w:val="22"/>
          <w:szCs w:val="22"/>
        </w:rPr>
        <w:t>j</w:t>
      </w:r>
      <w:r w:rsidRPr="00C00F2A">
        <w:rPr>
          <w:sz w:val="22"/>
          <w:szCs w:val="22"/>
        </w:rPr>
        <w:t>eštine i informacije od značaja za donošenje odluka</w:t>
      </w:r>
      <w:r w:rsidR="007E5F16" w:rsidRPr="00C00F2A">
        <w:rPr>
          <w:sz w:val="22"/>
          <w:szCs w:val="22"/>
        </w:rPr>
        <w:t>.</w:t>
      </w:r>
      <w:r w:rsidR="0017391A" w:rsidRPr="00C00F2A">
        <w:rPr>
          <w:rStyle w:val="FootnoteReference"/>
          <w:sz w:val="22"/>
          <w:szCs w:val="22"/>
        </w:rPr>
        <w:footnoteReference w:id="13"/>
      </w:r>
    </w:p>
    <w:p w:rsidR="007E5F16" w:rsidRPr="00C00F2A" w:rsidRDefault="007E5F16" w:rsidP="000F286D">
      <w:pPr>
        <w:jc w:val="both"/>
        <w:rPr>
          <w:sz w:val="22"/>
          <w:szCs w:val="22"/>
        </w:rPr>
      </w:pPr>
      <w:r w:rsidRPr="00C00F2A">
        <w:rPr>
          <w:sz w:val="22"/>
          <w:szCs w:val="22"/>
        </w:rPr>
        <w:t>Na prim</w:t>
      </w:r>
      <w:r w:rsidR="00B702C2" w:rsidRPr="00C00F2A">
        <w:rPr>
          <w:sz w:val="22"/>
          <w:szCs w:val="22"/>
        </w:rPr>
        <w:t>j</w:t>
      </w:r>
      <w:r w:rsidRPr="00C00F2A">
        <w:rPr>
          <w:sz w:val="22"/>
          <w:szCs w:val="22"/>
        </w:rPr>
        <w:t>er, sl</w:t>
      </w:r>
      <w:r w:rsidR="00B702C2" w:rsidRPr="00C00F2A">
        <w:rPr>
          <w:sz w:val="22"/>
          <w:szCs w:val="22"/>
        </w:rPr>
        <w:t>j</w:t>
      </w:r>
      <w:r w:rsidRPr="00C00F2A">
        <w:rPr>
          <w:sz w:val="22"/>
          <w:szCs w:val="22"/>
        </w:rPr>
        <w:t>edeće vrste odluka su donošene prim</w:t>
      </w:r>
      <w:r w:rsidR="00B702C2" w:rsidRPr="00C00F2A">
        <w:rPr>
          <w:sz w:val="22"/>
          <w:szCs w:val="22"/>
        </w:rPr>
        <w:t>j</w:t>
      </w:r>
      <w:r w:rsidRPr="00C00F2A">
        <w:rPr>
          <w:sz w:val="22"/>
          <w:szCs w:val="22"/>
        </w:rPr>
        <w:t>enom modela odlučivanja uz podršku: odluke o tome gd</w:t>
      </w:r>
      <w:r w:rsidR="00B702C2" w:rsidRPr="00C00F2A">
        <w:rPr>
          <w:sz w:val="22"/>
          <w:szCs w:val="22"/>
        </w:rPr>
        <w:t>j</w:t>
      </w:r>
      <w:r w:rsidRPr="00C00F2A">
        <w:rPr>
          <w:sz w:val="22"/>
          <w:szCs w:val="22"/>
        </w:rPr>
        <w:t>e će osoba živ</w:t>
      </w:r>
      <w:r w:rsidR="00B702C2" w:rsidRPr="00C00F2A">
        <w:rPr>
          <w:sz w:val="22"/>
          <w:szCs w:val="22"/>
        </w:rPr>
        <w:t>j</w:t>
      </w:r>
      <w:r w:rsidRPr="00C00F2A">
        <w:rPr>
          <w:sz w:val="22"/>
          <w:szCs w:val="22"/>
        </w:rPr>
        <w:t>eti (vrsta sm</w:t>
      </w:r>
      <w:r w:rsidR="00B702C2" w:rsidRPr="00C00F2A">
        <w:rPr>
          <w:sz w:val="22"/>
          <w:szCs w:val="22"/>
        </w:rPr>
        <w:t>j</w:t>
      </w:r>
      <w:r w:rsidRPr="00C00F2A">
        <w:rPr>
          <w:sz w:val="22"/>
          <w:szCs w:val="22"/>
        </w:rPr>
        <w:t>eštaja, lokacija, da li će živ</w:t>
      </w:r>
      <w:r w:rsidR="00B702C2" w:rsidRPr="00C00F2A">
        <w:rPr>
          <w:sz w:val="22"/>
          <w:szCs w:val="22"/>
        </w:rPr>
        <w:t>j</w:t>
      </w:r>
      <w:r w:rsidRPr="00C00F2A">
        <w:rPr>
          <w:sz w:val="22"/>
          <w:szCs w:val="22"/>
        </w:rPr>
        <w:t>eti sama ili sa drugima), odnosi sa ljudima i životni stilovi (s kim će provoditi vr</w:t>
      </w:r>
      <w:r w:rsidR="00B702C2" w:rsidRPr="00C00F2A">
        <w:rPr>
          <w:sz w:val="22"/>
          <w:szCs w:val="22"/>
        </w:rPr>
        <w:t>ij</w:t>
      </w:r>
      <w:r w:rsidRPr="00C00F2A">
        <w:rPr>
          <w:sz w:val="22"/>
          <w:szCs w:val="22"/>
        </w:rPr>
        <w:t>eme, u kakvim će aktivnostima učestvovati), izbor zaposlenja, obrazovanja i rekreativnih aktivnosti, odluke</w:t>
      </w:r>
      <w:r w:rsidR="0074319D" w:rsidRPr="00C00F2A">
        <w:rPr>
          <w:sz w:val="22"/>
          <w:szCs w:val="22"/>
        </w:rPr>
        <w:t xml:space="preserve"> o l</w:t>
      </w:r>
      <w:r w:rsidR="00773A5D" w:rsidRPr="00C00F2A">
        <w:rPr>
          <w:sz w:val="22"/>
          <w:szCs w:val="22"/>
        </w:rPr>
        <w:t>ij</w:t>
      </w:r>
      <w:r w:rsidR="0074319D" w:rsidRPr="00C00F2A">
        <w:rPr>
          <w:sz w:val="22"/>
          <w:szCs w:val="22"/>
        </w:rPr>
        <w:t>ečenju</w:t>
      </w:r>
      <w:r w:rsidRPr="00C00F2A">
        <w:rPr>
          <w:sz w:val="22"/>
          <w:szCs w:val="22"/>
        </w:rPr>
        <w:t xml:space="preserve"> (proc</w:t>
      </w:r>
      <w:r w:rsidR="00773A5D" w:rsidRPr="00C00F2A">
        <w:rPr>
          <w:sz w:val="22"/>
          <w:szCs w:val="22"/>
        </w:rPr>
        <w:t>j</w:t>
      </w:r>
      <w:r w:rsidRPr="00C00F2A">
        <w:rPr>
          <w:sz w:val="22"/>
          <w:szCs w:val="22"/>
        </w:rPr>
        <w:t>ena sav</w:t>
      </w:r>
      <w:r w:rsidR="00773A5D" w:rsidRPr="00C00F2A">
        <w:rPr>
          <w:sz w:val="22"/>
          <w:szCs w:val="22"/>
        </w:rPr>
        <w:t>j</w:t>
      </w:r>
      <w:r w:rsidRPr="00C00F2A">
        <w:rPr>
          <w:sz w:val="22"/>
          <w:szCs w:val="22"/>
        </w:rPr>
        <w:t>eta stručnjaka, izbor tretmana), finansijske odluke (kako se rukovodi novcem, trošenje i štednja) i ugovorni odnosi (podrška osobi da razum</w:t>
      </w:r>
      <w:r w:rsidR="00773A5D" w:rsidRPr="00C00F2A">
        <w:rPr>
          <w:sz w:val="22"/>
          <w:szCs w:val="22"/>
        </w:rPr>
        <w:t>ij</w:t>
      </w:r>
      <w:r w:rsidRPr="00C00F2A">
        <w:rPr>
          <w:sz w:val="22"/>
          <w:szCs w:val="22"/>
        </w:rPr>
        <w:t>e suštinu određenog ugovornog odnosa</w:t>
      </w:r>
      <w:r w:rsidR="00773A5D" w:rsidRPr="00C00F2A">
        <w:rPr>
          <w:sz w:val="22"/>
          <w:szCs w:val="22"/>
        </w:rPr>
        <w:t>,</w:t>
      </w:r>
      <w:r w:rsidRPr="00C00F2A">
        <w:rPr>
          <w:sz w:val="22"/>
          <w:szCs w:val="22"/>
        </w:rPr>
        <w:t xml:space="preserve"> pr</w:t>
      </w:r>
      <w:r w:rsidR="00773A5D" w:rsidRPr="00C00F2A">
        <w:rPr>
          <w:sz w:val="22"/>
          <w:szCs w:val="22"/>
        </w:rPr>
        <w:t>ij</w:t>
      </w:r>
      <w:r w:rsidRPr="00C00F2A">
        <w:rPr>
          <w:sz w:val="22"/>
          <w:szCs w:val="22"/>
        </w:rPr>
        <w:t>e nego što zaključi ugovor).</w:t>
      </w:r>
      <w:r w:rsidRPr="00C00F2A">
        <w:rPr>
          <w:rStyle w:val="FootnoteReference"/>
          <w:sz w:val="22"/>
          <w:szCs w:val="22"/>
        </w:rPr>
        <w:footnoteReference w:id="14"/>
      </w:r>
      <w:r w:rsidR="00CF2A37" w:rsidRPr="00C00F2A">
        <w:rPr>
          <w:sz w:val="22"/>
          <w:szCs w:val="22"/>
        </w:rPr>
        <w:t xml:space="preserve"> </w:t>
      </w:r>
    </w:p>
    <w:p w:rsidR="007F600A" w:rsidRPr="00C00F2A" w:rsidRDefault="007E5F16" w:rsidP="000F286D">
      <w:pPr>
        <w:jc w:val="both"/>
        <w:rPr>
          <w:sz w:val="22"/>
          <w:szCs w:val="22"/>
        </w:rPr>
      </w:pPr>
      <w:r w:rsidRPr="00C00F2A">
        <w:rPr>
          <w:sz w:val="22"/>
          <w:szCs w:val="22"/>
        </w:rPr>
        <w:t>Bugarska se opred</w:t>
      </w:r>
      <w:r w:rsidR="002A22A7" w:rsidRPr="00C00F2A">
        <w:rPr>
          <w:sz w:val="22"/>
          <w:szCs w:val="22"/>
        </w:rPr>
        <w:t>ij</w:t>
      </w:r>
      <w:r w:rsidRPr="00C00F2A">
        <w:rPr>
          <w:sz w:val="22"/>
          <w:szCs w:val="22"/>
        </w:rPr>
        <w:t>elila za holistički koncept zakonodavne reforme u skladu sa konvencijom, posebno sa odredbama člana 12</w:t>
      </w:r>
      <w:r w:rsidR="002A22A7" w:rsidRPr="00C00F2A">
        <w:rPr>
          <w:sz w:val="22"/>
          <w:szCs w:val="22"/>
        </w:rPr>
        <w:t>,</w:t>
      </w:r>
      <w:r w:rsidRPr="00C00F2A">
        <w:rPr>
          <w:sz w:val="22"/>
          <w:szCs w:val="22"/>
        </w:rPr>
        <w:t xml:space="preserve"> koje se odnose na poslovnu sposobnost.</w:t>
      </w:r>
      <w:r w:rsidRPr="00C00F2A">
        <w:rPr>
          <w:rStyle w:val="FootnoteReference"/>
          <w:sz w:val="22"/>
          <w:szCs w:val="22"/>
        </w:rPr>
        <w:footnoteReference w:id="15"/>
      </w:r>
      <w:r w:rsidRPr="00C00F2A">
        <w:rPr>
          <w:sz w:val="22"/>
          <w:szCs w:val="22"/>
        </w:rPr>
        <w:t xml:space="preserve"> Između ostalog, ovim novim konceptom je formulisano preduzimanje m</w:t>
      </w:r>
      <w:r w:rsidR="002A22A7" w:rsidRPr="00C00F2A">
        <w:rPr>
          <w:sz w:val="22"/>
          <w:szCs w:val="22"/>
        </w:rPr>
        <w:t>j</w:t>
      </w:r>
      <w:r w:rsidRPr="00C00F2A">
        <w:rPr>
          <w:sz w:val="22"/>
          <w:szCs w:val="22"/>
        </w:rPr>
        <w:t>era za ukidanje lišenja poslovne sposobnosti i zam</w:t>
      </w:r>
      <w:r w:rsidR="004A51CC" w:rsidRPr="00C00F2A">
        <w:rPr>
          <w:sz w:val="22"/>
          <w:szCs w:val="22"/>
        </w:rPr>
        <w:t>j</w:t>
      </w:r>
      <w:r w:rsidRPr="00C00F2A">
        <w:rPr>
          <w:sz w:val="22"/>
          <w:szCs w:val="22"/>
        </w:rPr>
        <w:t>enskog donošenja odluka (sistem starateljstva), odnosno, za zam</w:t>
      </w:r>
      <w:r w:rsidR="004A51CC" w:rsidRPr="00C00F2A">
        <w:rPr>
          <w:sz w:val="22"/>
          <w:szCs w:val="22"/>
        </w:rPr>
        <w:t>j</w:t>
      </w:r>
      <w:r w:rsidRPr="00C00F2A">
        <w:rPr>
          <w:sz w:val="22"/>
          <w:szCs w:val="22"/>
        </w:rPr>
        <w:t>enu tog sistema sistemom koji će prepoznavati autonomiju i nezavisnost osoba sa mentalnim i intelektualnim invaliditetom</w:t>
      </w:r>
      <w:r w:rsidR="004A51CC" w:rsidRPr="00C00F2A">
        <w:rPr>
          <w:sz w:val="22"/>
          <w:szCs w:val="22"/>
        </w:rPr>
        <w:t>,</w:t>
      </w:r>
      <w:r w:rsidRPr="00C00F2A">
        <w:rPr>
          <w:sz w:val="22"/>
          <w:szCs w:val="22"/>
        </w:rPr>
        <w:t xml:space="preserve"> i zam</w:t>
      </w:r>
      <w:r w:rsidR="004A51CC" w:rsidRPr="00C00F2A">
        <w:rPr>
          <w:sz w:val="22"/>
          <w:szCs w:val="22"/>
        </w:rPr>
        <w:t>ij</w:t>
      </w:r>
      <w:r w:rsidRPr="00C00F2A">
        <w:rPr>
          <w:sz w:val="22"/>
          <w:szCs w:val="22"/>
        </w:rPr>
        <w:t xml:space="preserve">eniti </w:t>
      </w:r>
      <w:r w:rsidR="004A51CC" w:rsidRPr="00C00F2A">
        <w:rPr>
          <w:sz w:val="22"/>
          <w:szCs w:val="22"/>
        </w:rPr>
        <w:t xml:space="preserve">princip „najboljeg interesa“ </w:t>
      </w:r>
      <w:r w:rsidRPr="00C00F2A">
        <w:rPr>
          <w:sz w:val="22"/>
          <w:szCs w:val="22"/>
        </w:rPr>
        <w:t>principom „poštovanja volje i želja“ osoba sa invaliditetom. Smatra se da će prim</w:t>
      </w:r>
      <w:r w:rsidR="004A51CC" w:rsidRPr="00C00F2A">
        <w:rPr>
          <w:sz w:val="22"/>
          <w:szCs w:val="22"/>
        </w:rPr>
        <w:t>j</w:t>
      </w:r>
      <w:r w:rsidRPr="00C00F2A">
        <w:rPr>
          <w:sz w:val="22"/>
          <w:szCs w:val="22"/>
        </w:rPr>
        <w:t>ena ovog koncepta bitno doprin</w:t>
      </w:r>
      <w:r w:rsidR="004A51CC" w:rsidRPr="00C00F2A">
        <w:rPr>
          <w:sz w:val="22"/>
          <w:szCs w:val="22"/>
        </w:rPr>
        <w:t>ij</w:t>
      </w:r>
      <w:r w:rsidRPr="00C00F2A">
        <w:rPr>
          <w:sz w:val="22"/>
          <w:szCs w:val="22"/>
        </w:rPr>
        <w:t>eti inkluziji osoba sa invaliditetom i njihovoj deinstitucionalizaciji. Kao najveći izazov ovom procesu, prepoznata je negativna praksa stavljanja osoba sa invaliditetom pod starateljstvo, institucionalizacija i izola</w:t>
      </w:r>
      <w:r w:rsidR="00496147" w:rsidRPr="00C00F2A">
        <w:rPr>
          <w:sz w:val="22"/>
          <w:szCs w:val="22"/>
        </w:rPr>
        <w:t>c</w:t>
      </w:r>
      <w:r w:rsidRPr="00C00F2A">
        <w:rPr>
          <w:sz w:val="22"/>
          <w:szCs w:val="22"/>
        </w:rPr>
        <w:t>ija.</w:t>
      </w:r>
      <w:r w:rsidR="00BB0704" w:rsidRPr="00C00F2A">
        <w:rPr>
          <w:sz w:val="22"/>
          <w:szCs w:val="22"/>
        </w:rPr>
        <w:t xml:space="preserve"> </w:t>
      </w:r>
    </w:p>
    <w:p w:rsidR="0079312B" w:rsidRPr="00C00F2A" w:rsidRDefault="00CF2A37" w:rsidP="000F286D">
      <w:pPr>
        <w:jc w:val="both"/>
        <w:rPr>
          <w:sz w:val="22"/>
          <w:szCs w:val="22"/>
        </w:rPr>
      </w:pPr>
      <w:r w:rsidRPr="00C00F2A">
        <w:rPr>
          <w:sz w:val="22"/>
          <w:szCs w:val="22"/>
        </w:rPr>
        <w:t>M</w:t>
      </w:r>
      <w:r w:rsidR="004A51CC" w:rsidRPr="00C00F2A">
        <w:rPr>
          <w:sz w:val="22"/>
          <w:szCs w:val="22"/>
        </w:rPr>
        <w:t>j</w:t>
      </w:r>
      <w:r w:rsidRPr="00C00F2A">
        <w:rPr>
          <w:sz w:val="22"/>
          <w:szCs w:val="22"/>
        </w:rPr>
        <w:t>ere podrške</w:t>
      </w:r>
      <w:r w:rsidR="004A51CC" w:rsidRPr="00C00F2A">
        <w:rPr>
          <w:sz w:val="22"/>
          <w:szCs w:val="22"/>
        </w:rPr>
        <w:t>,</w:t>
      </w:r>
      <w:r w:rsidRPr="00C00F2A">
        <w:rPr>
          <w:sz w:val="22"/>
          <w:szCs w:val="22"/>
        </w:rPr>
        <w:t xml:space="preserve"> zasnovane na odnosu pov</w:t>
      </w:r>
      <w:r w:rsidR="004A51CC" w:rsidRPr="00C00F2A">
        <w:rPr>
          <w:sz w:val="22"/>
          <w:szCs w:val="22"/>
        </w:rPr>
        <w:t>j</w:t>
      </w:r>
      <w:r w:rsidRPr="00C00F2A">
        <w:rPr>
          <w:sz w:val="22"/>
          <w:szCs w:val="22"/>
        </w:rPr>
        <w:t>erenja</w:t>
      </w:r>
      <w:r w:rsidR="004A51CC" w:rsidRPr="00C00F2A">
        <w:rPr>
          <w:sz w:val="22"/>
          <w:szCs w:val="22"/>
        </w:rPr>
        <w:t>,</w:t>
      </w:r>
      <w:r w:rsidRPr="00C00F2A">
        <w:rPr>
          <w:sz w:val="22"/>
          <w:szCs w:val="22"/>
        </w:rPr>
        <w:t xml:space="preserve"> koje su ušle u predlog Zakona o donošenju odluka uz podršku su: ugovor o donošenju odluka uz podršku, zajedničko donošenje odluka, postavljanje organičenja </w:t>
      </w:r>
      <w:r w:rsidR="00BB0704" w:rsidRPr="00C00F2A">
        <w:rPr>
          <w:sz w:val="22"/>
          <w:szCs w:val="22"/>
        </w:rPr>
        <w:t>na raspolaganje određenom imovinom po</w:t>
      </w:r>
      <w:r w:rsidRPr="00C00F2A">
        <w:rPr>
          <w:sz w:val="22"/>
          <w:szCs w:val="22"/>
        </w:rPr>
        <w:t xml:space="preserve"> zaht</w:t>
      </w:r>
      <w:r w:rsidR="00716B67" w:rsidRPr="00C00F2A">
        <w:rPr>
          <w:sz w:val="22"/>
          <w:szCs w:val="22"/>
        </w:rPr>
        <w:t>j</w:t>
      </w:r>
      <w:r w:rsidRPr="00C00F2A">
        <w:rPr>
          <w:sz w:val="22"/>
          <w:szCs w:val="22"/>
        </w:rPr>
        <w:t>ev</w:t>
      </w:r>
      <w:r w:rsidR="00BB0704" w:rsidRPr="00C00F2A">
        <w:rPr>
          <w:sz w:val="22"/>
          <w:szCs w:val="22"/>
        </w:rPr>
        <w:t>u</w:t>
      </w:r>
      <w:r w:rsidR="00496147" w:rsidRPr="00C00F2A">
        <w:rPr>
          <w:sz w:val="22"/>
          <w:szCs w:val="22"/>
        </w:rPr>
        <w:t xml:space="preserve"> osobe, priznavanje preliminarn</w:t>
      </w:r>
      <w:r w:rsidRPr="00C00F2A">
        <w:rPr>
          <w:sz w:val="22"/>
          <w:szCs w:val="22"/>
        </w:rPr>
        <w:t>e deklaracije (odluka za budućnost)</w:t>
      </w:r>
      <w:r w:rsidR="00976562">
        <w:rPr>
          <w:sz w:val="22"/>
          <w:szCs w:val="22"/>
        </w:rPr>
        <w:t>,</w:t>
      </w:r>
      <w:r w:rsidR="007E5F16" w:rsidRPr="00C00F2A">
        <w:rPr>
          <w:sz w:val="22"/>
          <w:szCs w:val="22"/>
        </w:rPr>
        <w:t xml:space="preserve"> itd</w:t>
      </w:r>
      <w:r w:rsidRPr="00C00F2A">
        <w:rPr>
          <w:sz w:val="22"/>
          <w:szCs w:val="22"/>
        </w:rPr>
        <w:t xml:space="preserve">. </w:t>
      </w:r>
    </w:p>
    <w:p w:rsidR="00EB3E07" w:rsidRDefault="00EB3E07" w:rsidP="000F286D">
      <w:pPr>
        <w:jc w:val="both"/>
        <w:rPr>
          <w:sz w:val="22"/>
          <w:szCs w:val="22"/>
        </w:rPr>
      </w:pPr>
    </w:p>
    <w:p w:rsidR="00D32E1B" w:rsidRDefault="00D32E1B" w:rsidP="000F286D">
      <w:pPr>
        <w:jc w:val="both"/>
        <w:rPr>
          <w:sz w:val="22"/>
          <w:szCs w:val="22"/>
        </w:rPr>
      </w:pPr>
    </w:p>
    <w:p w:rsidR="00D32E1B" w:rsidRDefault="00D32E1B" w:rsidP="000F286D">
      <w:pPr>
        <w:jc w:val="both"/>
        <w:rPr>
          <w:sz w:val="22"/>
          <w:szCs w:val="22"/>
        </w:rPr>
      </w:pPr>
    </w:p>
    <w:p w:rsidR="00D32E1B" w:rsidRDefault="00D32E1B" w:rsidP="000F286D">
      <w:pPr>
        <w:jc w:val="both"/>
        <w:rPr>
          <w:sz w:val="22"/>
          <w:szCs w:val="22"/>
        </w:rPr>
      </w:pPr>
    </w:p>
    <w:p w:rsidR="00D32E1B" w:rsidRDefault="00D32E1B" w:rsidP="000F286D">
      <w:pPr>
        <w:jc w:val="both"/>
        <w:rPr>
          <w:sz w:val="22"/>
          <w:szCs w:val="22"/>
        </w:rPr>
      </w:pPr>
    </w:p>
    <w:p w:rsidR="00D32E1B" w:rsidRDefault="00D32E1B" w:rsidP="000F286D">
      <w:pPr>
        <w:jc w:val="both"/>
        <w:rPr>
          <w:sz w:val="22"/>
          <w:szCs w:val="22"/>
        </w:rPr>
      </w:pPr>
    </w:p>
    <w:p w:rsidR="00D32E1B" w:rsidRDefault="00D32E1B" w:rsidP="000F286D">
      <w:pPr>
        <w:jc w:val="both"/>
        <w:rPr>
          <w:sz w:val="22"/>
          <w:szCs w:val="22"/>
        </w:rPr>
      </w:pPr>
    </w:p>
    <w:bookmarkStart w:id="16" w:name="_Toc473540824"/>
    <w:p w:rsidR="0026349D" w:rsidRPr="00C00F2A" w:rsidRDefault="00BF0332" w:rsidP="0026349D">
      <w:pPr>
        <w:pStyle w:val="Heading3"/>
      </w:pPr>
      <w:r w:rsidRPr="00C00F2A">
        <w:rPr>
          <w:noProof/>
          <w:lang w:val="en-US"/>
        </w:rPr>
        <w:lastRenderedPageBreak/>
        <mc:AlternateContent>
          <mc:Choice Requires="wps">
            <w:drawing>
              <wp:anchor distT="0" distB="0" distL="114300" distR="114300" simplePos="0" relativeHeight="251661824" behindDoc="0" locked="0" layoutInCell="1" allowOverlap="1" wp14:anchorId="3AD46B8B" wp14:editId="022E9894">
                <wp:simplePos x="0" y="0"/>
                <wp:positionH relativeFrom="column">
                  <wp:posOffset>34290</wp:posOffset>
                </wp:positionH>
                <wp:positionV relativeFrom="paragraph">
                  <wp:posOffset>612140</wp:posOffset>
                </wp:positionV>
                <wp:extent cx="5607050" cy="1492250"/>
                <wp:effectExtent l="0" t="0" r="12700" b="12700"/>
                <wp:wrapTopAndBottom/>
                <wp:docPr id="13" name="Rounded Rectangle 13"/>
                <wp:cNvGraphicFramePr/>
                <a:graphic xmlns:a="http://schemas.openxmlformats.org/drawingml/2006/main">
                  <a:graphicData uri="http://schemas.microsoft.com/office/word/2010/wordprocessingShape">
                    <wps:wsp>
                      <wps:cNvSpPr/>
                      <wps:spPr>
                        <a:xfrm>
                          <a:off x="0" y="0"/>
                          <a:ext cx="5607050" cy="14922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F67406" w:rsidRPr="00D32E1B" w:rsidRDefault="00F67406" w:rsidP="000F286D">
                            <w:pPr>
                              <w:jc w:val="both"/>
                              <w:rPr>
                                <w:b/>
                                <w:sz w:val="22"/>
                              </w:rPr>
                            </w:pPr>
                            <w:r w:rsidRPr="00D32E1B">
                              <w:rPr>
                                <w:sz w:val="22"/>
                              </w:rPr>
                              <w:t>Rezolucija 1642 (2009) Parlamentarne skupštine Savjeta Evrope o ostvarivanju prava osoba sa invaliditetom i njihovom punom i aktivnom učešću u životu zajednice, poziva države članice da „se obavežu na sprovođenje procesa deinstitucionalizacije, tako što će reorganizovati usluge i preraspodijeliti resurse iz institucionalne zaštite ka pružanju usluga u zajednici“.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28" style="position:absolute;margin-left:2.7pt;margin-top:48.2pt;width:441.5pt;height:1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" fillcolor="white [3201]" strokecolor="#4f81bd [3204]" strokeweight="2pt">
                <v:textbox>
                  <w:txbxContent>
                    <w:p w:rsidR="009B6FB5" w:rsidRPr="00D32E1B" w:rsidRDefault="009B6FB5" w:rsidP="000F286D">
                      <w:pPr>
                        <w:jc w:val="both"/>
                        <w:rPr>
                          <w:b/>
                          <w:sz w:val="22"/>
                        </w:rPr>
                      </w:pPr>
                      <w:r w:rsidRPr="00D32E1B">
                        <w:rPr>
                          <w:sz w:val="22"/>
                        </w:rPr>
                        <w:t>Rezolucija 1642 (2009) Parlamentarne skupštine Sav</w:t>
                      </w:r>
                      <w:r w:rsidRPr="00D32E1B">
                        <w:rPr>
                          <w:sz w:val="22"/>
                          <w:lang w:val="sr-Latn-ME"/>
                        </w:rPr>
                        <w:t>j</w:t>
                      </w:r>
                      <w:r w:rsidRPr="00D32E1B">
                        <w:rPr>
                          <w:sz w:val="22"/>
                        </w:rPr>
                        <w:t>eta Evrope o ostvarivanju prava osoba sa invaliditetom i njihovom punom i aktivnom učešću u životu zajednice</w:t>
                      </w:r>
                      <w:r w:rsidRPr="00D32E1B">
                        <w:rPr>
                          <w:sz w:val="22"/>
                          <w:lang w:val="sr-Latn-ME"/>
                        </w:rPr>
                        <w:t>,</w:t>
                      </w:r>
                      <w:r w:rsidRPr="00D32E1B">
                        <w:rPr>
                          <w:sz w:val="22"/>
                        </w:rPr>
                        <w:t xml:space="preserve"> poziva države članice da „se obavežu na sprovođenje procesa deinstitucionalizacije</w:t>
                      </w:r>
                      <w:r w:rsidRPr="00D32E1B">
                        <w:rPr>
                          <w:sz w:val="22"/>
                          <w:lang w:val="sr-Latn-ME"/>
                        </w:rPr>
                        <w:t>,</w:t>
                      </w:r>
                      <w:r w:rsidRPr="00D32E1B">
                        <w:rPr>
                          <w:sz w:val="22"/>
                        </w:rPr>
                        <w:t xml:space="preserve"> tako što će reorganizovati usluge i preraspod</w:t>
                      </w:r>
                      <w:r w:rsidRPr="00D32E1B">
                        <w:rPr>
                          <w:sz w:val="22"/>
                          <w:lang w:val="sr-Latn-ME"/>
                        </w:rPr>
                        <w:t>ij</w:t>
                      </w:r>
                      <w:r w:rsidRPr="00D32E1B">
                        <w:rPr>
                          <w:sz w:val="22"/>
                        </w:rPr>
                        <w:t>eliti resurse iz institucionalne zaštite ka pružanju usluga u zajednici“.</w:t>
                      </w:r>
                    </w:p>
                  </w:txbxContent>
                </v:textbox>
                <w10:wrap type="topAndBottom"/>
              </v:roundrect>
            </w:pict>
          </mc:Fallback>
        </mc:AlternateContent>
      </w:r>
      <w:r w:rsidR="0026349D" w:rsidRPr="00C00F2A">
        <w:t>Bolje korišćenje resursa</w:t>
      </w:r>
      <w:r w:rsidR="00205718" w:rsidRPr="00C00F2A">
        <w:t xml:space="preserve"> i pristup evropskim fondovima</w:t>
      </w:r>
      <w:bookmarkEnd w:id="16"/>
    </w:p>
    <w:p w:rsidR="00782A10" w:rsidRPr="00D32E1B" w:rsidRDefault="00782A10" w:rsidP="0026349D">
      <w:pPr>
        <w:rPr>
          <w:sz w:val="18"/>
          <w:szCs w:val="22"/>
        </w:rPr>
      </w:pPr>
    </w:p>
    <w:p w:rsidR="00750572" w:rsidRPr="00C00F2A" w:rsidRDefault="007F600A" w:rsidP="00400023">
      <w:pPr>
        <w:jc w:val="both"/>
        <w:rPr>
          <w:sz w:val="22"/>
          <w:szCs w:val="22"/>
        </w:rPr>
      </w:pPr>
      <w:r w:rsidRPr="00C00F2A">
        <w:rPr>
          <w:sz w:val="22"/>
          <w:szCs w:val="22"/>
        </w:rPr>
        <w:t>Proces deinstitucionalizacije zaht</w:t>
      </w:r>
      <w:r w:rsidR="00716B67" w:rsidRPr="00C00F2A">
        <w:rPr>
          <w:sz w:val="22"/>
          <w:szCs w:val="22"/>
        </w:rPr>
        <w:t>ij</w:t>
      </w:r>
      <w:r w:rsidRPr="00C00F2A">
        <w:rPr>
          <w:sz w:val="22"/>
          <w:szCs w:val="22"/>
        </w:rPr>
        <w:t>eva a</w:t>
      </w:r>
      <w:r w:rsidR="00750572" w:rsidRPr="00C00F2A">
        <w:rPr>
          <w:sz w:val="22"/>
          <w:szCs w:val="22"/>
        </w:rPr>
        <w:t>dekvatno raspolaganje resursima</w:t>
      </w:r>
      <w:r w:rsidRPr="00C00F2A">
        <w:rPr>
          <w:sz w:val="22"/>
          <w:szCs w:val="22"/>
        </w:rPr>
        <w:t xml:space="preserve">, </w:t>
      </w:r>
      <w:r w:rsidR="00750572" w:rsidRPr="00C00F2A">
        <w:rPr>
          <w:sz w:val="22"/>
          <w:szCs w:val="22"/>
        </w:rPr>
        <w:t>uključuj</w:t>
      </w:r>
      <w:r w:rsidRPr="00C00F2A">
        <w:rPr>
          <w:sz w:val="22"/>
          <w:szCs w:val="22"/>
        </w:rPr>
        <w:t>ući</w:t>
      </w:r>
      <w:r w:rsidR="00750572" w:rsidRPr="00C00F2A">
        <w:rPr>
          <w:sz w:val="22"/>
          <w:szCs w:val="22"/>
        </w:rPr>
        <w:t xml:space="preserve"> kako finansijske, tako i materijalne i ljudske resurse. Njihovo adekvatno planiranje i preraspod</w:t>
      </w:r>
      <w:r w:rsidR="00716B67" w:rsidRPr="00C00F2A">
        <w:rPr>
          <w:sz w:val="22"/>
          <w:szCs w:val="22"/>
        </w:rPr>
        <w:t>j</w:t>
      </w:r>
      <w:r w:rsidR="00750572" w:rsidRPr="00C00F2A">
        <w:rPr>
          <w:sz w:val="22"/>
          <w:szCs w:val="22"/>
        </w:rPr>
        <w:t>ela od ključne su važnosti za usp</w:t>
      </w:r>
      <w:r w:rsidR="00716B67" w:rsidRPr="00C00F2A">
        <w:rPr>
          <w:sz w:val="22"/>
          <w:szCs w:val="22"/>
        </w:rPr>
        <w:t>j</w:t>
      </w:r>
      <w:r w:rsidR="00750572" w:rsidRPr="00C00F2A">
        <w:rPr>
          <w:sz w:val="22"/>
          <w:szCs w:val="22"/>
        </w:rPr>
        <w:t>ešnost procesa deinstitucionalizacije.</w:t>
      </w:r>
      <w:r w:rsidR="00CB63D8" w:rsidRPr="00C00F2A">
        <w:rPr>
          <w:sz w:val="22"/>
          <w:szCs w:val="22"/>
        </w:rPr>
        <w:t xml:space="preserve"> Resurse treba usm</w:t>
      </w:r>
      <w:r w:rsidR="00716B67" w:rsidRPr="00C00F2A">
        <w:rPr>
          <w:sz w:val="22"/>
          <w:szCs w:val="22"/>
        </w:rPr>
        <w:t>j</w:t>
      </w:r>
      <w:r w:rsidR="00CB63D8" w:rsidRPr="00C00F2A">
        <w:rPr>
          <w:sz w:val="22"/>
          <w:szCs w:val="22"/>
        </w:rPr>
        <w:t>eravati tamo gd</w:t>
      </w:r>
      <w:r w:rsidR="00716B67" w:rsidRPr="00C00F2A">
        <w:rPr>
          <w:sz w:val="22"/>
          <w:szCs w:val="22"/>
        </w:rPr>
        <w:t>j</w:t>
      </w:r>
      <w:r w:rsidR="00CB63D8" w:rsidRPr="00C00F2A">
        <w:rPr>
          <w:sz w:val="22"/>
          <w:szCs w:val="22"/>
        </w:rPr>
        <w:t>e se osoba nalazi i srazm</w:t>
      </w:r>
      <w:r w:rsidR="00716B67" w:rsidRPr="00C00F2A">
        <w:rPr>
          <w:sz w:val="22"/>
          <w:szCs w:val="22"/>
        </w:rPr>
        <w:t>j</w:t>
      </w:r>
      <w:r w:rsidR="00CB63D8" w:rsidRPr="00C00F2A">
        <w:rPr>
          <w:sz w:val="22"/>
          <w:szCs w:val="22"/>
        </w:rPr>
        <w:t>erno njenim potrebama za podrškom. Takođe, dobro planiranje resursa omogućava korišćenje onih službi</w:t>
      </w:r>
      <w:r w:rsidR="00716B67" w:rsidRPr="00C00F2A">
        <w:rPr>
          <w:sz w:val="22"/>
          <w:szCs w:val="22"/>
        </w:rPr>
        <w:t>,</w:t>
      </w:r>
      <w:r w:rsidR="00CB63D8" w:rsidRPr="00C00F2A">
        <w:rPr>
          <w:sz w:val="22"/>
          <w:szCs w:val="22"/>
        </w:rPr>
        <w:t xml:space="preserve"> koje na najbolji način odgovaraju na specifične potrebe korisnika.</w:t>
      </w:r>
    </w:p>
    <w:p w:rsidR="00750572" w:rsidRPr="00C00F2A" w:rsidRDefault="00750572" w:rsidP="00400023">
      <w:pPr>
        <w:jc w:val="both"/>
        <w:rPr>
          <w:sz w:val="22"/>
          <w:szCs w:val="22"/>
        </w:rPr>
      </w:pPr>
      <w:r w:rsidRPr="00C00F2A">
        <w:rPr>
          <w:sz w:val="22"/>
          <w:szCs w:val="22"/>
        </w:rPr>
        <w:t>Način</w:t>
      </w:r>
      <w:r w:rsidR="00CB63D8" w:rsidRPr="00C00F2A">
        <w:rPr>
          <w:sz w:val="22"/>
          <w:szCs w:val="22"/>
        </w:rPr>
        <w:t xml:space="preserve"> fin</w:t>
      </w:r>
      <w:r w:rsidR="00716B67" w:rsidRPr="00C00F2A">
        <w:rPr>
          <w:sz w:val="22"/>
          <w:szCs w:val="22"/>
        </w:rPr>
        <w:t>a</w:t>
      </w:r>
      <w:r w:rsidRPr="00C00F2A">
        <w:rPr>
          <w:sz w:val="22"/>
          <w:szCs w:val="22"/>
        </w:rPr>
        <w:t xml:space="preserve">siranja jeste jedan od </w:t>
      </w:r>
      <w:r w:rsidR="0091476C" w:rsidRPr="00C00F2A">
        <w:rPr>
          <w:sz w:val="22"/>
          <w:szCs w:val="22"/>
        </w:rPr>
        <w:t>naj</w:t>
      </w:r>
      <w:r w:rsidR="00CB63D8" w:rsidRPr="00C00F2A">
        <w:rPr>
          <w:sz w:val="22"/>
          <w:szCs w:val="22"/>
        </w:rPr>
        <w:t xml:space="preserve">češćih </w:t>
      </w:r>
      <w:r w:rsidRPr="00C00F2A">
        <w:rPr>
          <w:sz w:val="22"/>
          <w:szCs w:val="22"/>
        </w:rPr>
        <w:t>remetećih faktora u planiranju adekvatne brige i l</w:t>
      </w:r>
      <w:r w:rsidR="0091476C" w:rsidRPr="00C00F2A">
        <w:rPr>
          <w:sz w:val="22"/>
          <w:szCs w:val="22"/>
        </w:rPr>
        <w:t>ij</w:t>
      </w:r>
      <w:r w:rsidRPr="00C00F2A">
        <w:rPr>
          <w:sz w:val="22"/>
          <w:szCs w:val="22"/>
        </w:rPr>
        <w:t>ečenja. U Crnoj Gori, kao i u većini zemalja u kojima je proces deinstitucionalizacije u začetku, sredstva se primarno usm</w:t>
      </w:r>
      <w:r w:rsidR="0091476C" w:rsidRPr="00C00F2A">
        <w:rPr>
          <w:sz w:val="22"/>
          <w:szCs w:val="22"/>
        </w:rPr>
        <w:t>j</w:t>
      </w:r>
      <w:r w:rsidRPr="00C00F2A">
        <w:rPr>
          <w:sz w:val="22"/>
          <w:szCs w:val="22"/>
        </w:rPr>
        <w:t>eravaju ka institucijama. Jedno o</w:t>
      </w:r>
      <w:r w:rsidR="007F600A" w:rsidRPr="00C00F2A">
        <w:rPr>
          <w:sz w:val="22"/>
          <w:szCs w:val="22"/>
        </w:rPr>
        <w:t>d</w:t>
      </w:r>
      <w:r w:rsidRPr="00C00F2A">
        <w:rPr>
          <w:sz w:val="22"/>
          <w:szCs w:val="22"/>
        </w:rPr>
        <w:t xml:space="preserve"> ključnih načela adekvatne podrške osobama sa invaliditetom jeste da </w:t>
      </w:r>
      <w:r w:rsidRPr="00C00F2A">
        <w:rPr>
          <w:b/>
          <w:sz w:val="22"/>
          <w:szCs w:val="22"/>
        </w:rPr>
        <w:t>novac prati osobu</w:t>
      </w:r>
      <w:r w:rsidRPr="00C00F2A">
        <w:rPr>
          <w:sz w:val="22"/>
          <w:szCs w:val="22"/>
        </w:rPr>
        <w:t>. Na taj način se obezb</w:t>
      </w:r>
      <w:r w:rsidR="00F703A8" w:rsidRPr="00C00F2A">
        <w:rPr>
          <w:sz w:val="22"/>
          <w:szCs w:val="22"/>
        </w:rPr>
        <w:t>j</w:t>
      </w:r>
      <w:r w:rsidRPr="00C00F2A">
        <w:rPr>
          <w:sz w:val="22"/>
          <w:szCs w:val="22"/>
        </w:rPr>
        <w:t>eđuju sredstva za obezb</w:t>
      </w:r>
      <w:r w:rsidR="00F703A8" w:rsidRPr="00C00F2A">
        <w:rPr>
          <w:sz w:val="22"/>
          <w:szCs w:val="22"/>
        </w:rPr>
        <w:t>j</w:t>
      </w:r>
      <w:r w:rsidRPr="00C00F2A">
        <w:rPr>
          <w:sz w:val="22"/>
          <w:szCs w:val="22"/>
        </w:rPr>
        <w:t>eđivanje podrške osobi van institucije. Takođe, time se osobi pruža mogućnost izbora usluge koju želi da koristi. U međuvremenu je, svakako, potrebno nastaviti finansiranje institucija u m</w:t>
      </w:r>
      <w:r w:rsidR="00F703A8" w:rsidRPr="00C00F2A">
        <w:rPr>
          <w:sz w:val="22"/>
          <w:szCs w:val="22"/>
        </w:rPr>
        <w:t>j</w:t>
      </w:r>
      <w:r w:rsidRPr="00C00F2A">
        <w:rPr>
          <w:sz w:val="22"/>
          <w:szCs w:val="22"/>
        </w:rPr>
        <w:t>eri u kojoj je to neophodno</w:t>
      </w:r>
      <w:r w:rsidR="00F703A8" w:rsidRPr="00C00F2A">
        <w:rPr>
          <w:sz w:val="22"/>
          <w:szCs w:val="22"/>
        </w:rPr>
        <w:t>,</w:t>
      </w:r>
      <w:r w:rsidRPr="00C00F2A">
        <w:rPr>
          <w:sz w:val="22"/>
          <w:szCs w:val="22"/>
        </w:rPr>
        <w:t xml:space="preserve"> dok svi korisnici ne pređu u alternativni oblik pružanja podrške.</w:t>
      </w:r>
    </w:p>
    <w:p w:rsidR="00CB63D8" w:rsidRPr="00C00F2A" w:rsidRDefault="00CB63D8" w:rsidP="00400023">
      <w:pPr>
        <w:jc w:val="both"/>
        <w:rPr>
          <w:sz w:val="22"/>
          <w:szCs w:val="22"/>
        </w:rPr>
      </w:pPr>
      <w:r w:rsidRPr="00C00F2A">
        <w:rPr>
          <w:sz w:val="22"/>
          <w:szCs w:val="22"/>
        </w:rPr>
        <w:t>Često se postavlja pitanje kako iskoristiti materijalne resurse. Prenam</w:t>
      </w:r>
      <w:r w:rsidR="00F703A8" w:rsidRPr="00C00F2A">
        <w:rPr>
          <w:sz w:val="22"/>
          <w:szCs w:val="22"/>
        </w:rPr>
        <w:t>j</w:t>
      </w:r>
      <w:r w:rsidRPr="00C00F2A">
        <w:rPr>
          <w:sz w:val="22"/>
          <w:szCs w:val="22"/>
        </w:rPr>
        <w:t>ena za, n</w:t>
      </w:r>
      <w:r w:rsidR="00D35335" w:rsidRPr="00C00F2A">
        <w:rPr>
          <w:sz w:val="22"/>
          <w:szCs w:val="22"/>
        </w:rPr>
        <w:t>a prim</w:t>
      </w:r>
      <w:r w:rsidR="00F703A8" w:rsidRPr="00C00F2A">
        <w:rPr>
          <w:sz w:val="22"/>
          <w:szCs w:val="22"/>
        </w:rPr>
        <w:t>j</w:t>
      </w:r>
      <w:r w:rsidR="00D35335" w:rsidRPr="00C00F2A">
        <w:rPr>
          <w:sz w:val="22"/>
          <w:szCs w:val="22"/>
        </w:rPr>
        <w:t>er, usluge opšte zdravstve</w:t>
      </w:r>
      <w:r w:rsidRPr="00C00F2A">
        <w:rPr>
          <w:sz w:val="22"/>
          <w:szCs w:val="22"/>
        </w:rPr>
        <w:t>ne zaštite, iznajmljivanje objekata, prenam</w:t>
      </w:r>
      <w:r w:rsidR="00F703A8" w:rsidRPr="00C00F2A">
        <w:rPr>
          <w:sz w:val="22"/>
          <w:szCs w:val="22"/>
        </w:rPr>
        <w:t>j</w:t>
      </w:r>
      <w:r w:rsidRPr="00C00F2A">
        <w:rPr>
          <w:sz w:val="22"/>
          <w:szCs w:val="22"/>
        </w:rPr>
        <w:t>ena u stambeni prostor za opšte stanovništvo ili turistički obj</w:t>
      </w:r>
      <w:r w:rsidR="008145A9" w:rsidRPr="00C00F2A">
        <w:rPr>
          <w:sz w:val="22"/>
          <w:szCs w:val="22"/>
        </w:rPr>
        <w:t>e</w:t>
      </w:r>
      <w:r w:rsidRPr="00C00F2A">
        <w:rPr>
          <w:sz w:val="22"/>
          <w:szCs w:val="22"/>
        </w:rPr>
        <w:t>kat, samo su neki prim</w:t>
      </w:r>
      <w:r w:rsidR="00F703A8" w:rsidRPr="00C00F2A">
        <w:rPr>
          <w:sz w:val="22"/>
          <w:szCs w:val="22"/>
        </w:rPr>
        <w:t>j</w:t>
      </w:r>
      <w:r w:rsidRPr="00C00F2A">
        <w:rPr>
          <w:sz w:val="22"/>
          <w:szCs w:val="22"/>
        </w:rPr>
        <w:t>eri. Takođe, objekte u kojima se nalaze postojeće opšte službe mogu se dati na korišćenje i službama koje pružaju podršku u zajednici</w:t>
      </w:r>
      <w:r w:rsidR="00F703A8" w:rsidRPr="00C00F2A">
        <w:rPr>
          <w:sz w:val="22"/>
          <w:szCs w:val="22"/>
        </w:rPr>
        <w:t xml:space="preserve"> specifičnim g</w:t>
      </w:r>
      <w:r w:rsidR="008145A9" w:rsidRPr="00C00F2A">
        <w:rPr>
          <w:sz w:val="22"/>
          <w:szCs w:val="22"/>
        </w:rPr>
        <w:t>r</w:t>
      </w:r>
      <w:r w:rsidR="00F703A8" w:rsidRPr="00C00F2A">
        <w:rPr>
          <w:sz w:val="22"/>
          <w:szCs w:val="22"/>
        </w:rPr>
        <w:t>u</w:t>
      </w:r>
      <w:r w:rsidR="008145A9" w:rsidRPr="00C00F2A">
        <w:rPr>
          <w:sz w:val="22"/>
          <w:szCs w:val="22"/>
        </w:rPr>
        <w:t>pama</w:t>
      </w:r>
      <w:r w:rsidRPr="00C00F2A">
        <w:rPr>
          <w:sz w:val="22"/>
          <w:szCs w:val="22"/>
        </w:rPr>
        <w:t>.</w:t>
      </w:r>
    </w:p>
    <w:p w:rsidR="00CB63D8" w:rsidRPr="00C00F2A" w:rsidRDefault="00CB63D8" w:rsidP="00400023">
      <w:pPr>
        <w:jc w:val="both"/>
        <w:rPr>
          <w:sz w:val="22"/>
          <w:szCs w:val="22"/>
        </w:rPr>
      </w:pPr>
      <w:r w:rsidRPr="00C00F2A">
        <w:rPr>
          <w:sz w:val="22"/>
          <w:szCs w:val="22"/>
        </w:rPr>
        <w:t xml:space="preserve">Dobro upravljanje ljudskim resursima u procesu deinstitucionalizacije važno je iz </w:t>
      </w:r>
      <w:r w:rsidR="00E12674" w:rsidRPr="00C00F2A">
        <w:rPr>
          <w:sz w:val="22"/>
          <w:szCs w:val="22"/>
        </w:rPr>
        <w:t>nekoliko</w:t>
      </w:r>
      <w:r w:rsidRPr="00C00F2A">
        <w:rPr>
          <w:sz w:val="22"/>
          <w:szCs w:val="22"/>
        </w:rPr>
        <w:t xml:space="preserve"> razloga. Prvo, time se kontroliše otpor ka prom</w:t>
      </w:r>
      <w:r w:rsidR="00F703A8" w:rsidRPr="00C00F2A">
        <w:rPr>
          <w:sz w:val="22"/>
          <w:szCs w:val="22"/>
        </w:rPr>
        <w:t>j</w:t>
      </w:r>
      <w:r w:rsidRPr="00C00F2A">
        <w:rPr>
          <w:sz w:val="22"/>
          <w:szCs w:val="22"/>
        </w:rPr>
        <w:t>enama</w:t>
      </w:r>
      <w:r w:rsidR="00F703A8" w:rsidRPr="00C00F2A">
        <w:rPr>
          <w:sz w:val="22"/>
          <w:szCs w:val="22"/>
        </w:rPr>
        <w:t>,</w:t>
      </w:r>
      <w:r w:rsidRPr="00C00F2A">
        <w:rPr>
          <w:sz w:val="22"/>
          <w:szCs w:val="22"/>
        </w:rPr>
        <w:t xml:space="preserve"> koji pokazuju kako zaposleni u velikim institucijama</w:t>
      </w:r>
      <w:r w:rsidR="00F703A8" w:rsidRPr="00C00F2A">
        <w:rPr>
          <w:sz w:val="22"/>
          <w:szCs w:val="22"/>
        </w:rPr>
        <w:t>,</w:t>
      </w:r>
      <w:r w:rsidRPr="00C00F2A">
        <w:rPr>
          <w:sz w:val="22"/>
          <w:szCs w:val="22"/>
        </w:rPr>
        <w:t xml:space="preserve"> tako i zaposleni u opštim službama koji su osobe sa mentalnim smetnjama samo „prosl</w:t>
      </w:r>
      <w:r w:rsidR="00C81BB9" w:rsidRPr="00C00F2A">
        <w:rPr>
          <w:sz w:val="22"/>
          <w:szCs w:val="22"/>
        </w:rPr>
        <w:t>ij</w:t>
      </w:r>
      <w:r w:rsidRPr="00C00F2A">
        <w:rPr>
          <w:sz w:val="22"/>
          <w:szCs w:val="22"/>
        </w:rPr>
        <w:t>eđivale“ sp</w:t>
      </w:r>
      <w:r w:rsidR="00D35335" w:rsidRPr="00C00F2A">
        <w:rPr>
          <w:sz w:val="22"/>
          <w:szCs w:val="22"/>
        </w:rPr>
        <w:t>ecijalizo</w:t>
      </w:r>
      <w:r w:rsidRPr="00C00F2A">
        <w:rPr>
          <w:sz w:val="22"/>
          <w:szCs w:val="22"/>
        </w:rPr>
        <w:t>vanim službama i institucijama. Drugo, osoblje sa dobrim poznavanjem korisnika i dugogodišnjim iskustvom brige o osobama sa najtežim smetnjama</w:t>
      </w:r>
      <w:r w:rsidR="00C81BB9" w:rsidRPr="00C00F2A">
        <w:rPr>
          <w:sz w:val="22"/>
          <w:szCs w:val="22"/>
        </w:rPr>
        <w:t>,</w:t>
      </w:r>
      <w:r w:rsidRPr="00C00F2A">
        <w:rPr>
          <w:sz w:val="22"/>
          <w:szCs w:val="22"/>
        </w:rPr>
        <w:t xml:space="preserve"> čini najvažniji resurs za pružanje adekvatne podrške</w:t>
      </w:r>
      <w:r w:rsidR="00E12674" w:rsidRPr="00C00F2A">
        <w:rPr>
          <w:sz w:val="22"/>
          <w:szCs w:val="22"/>
        </w:rPr>
        <w:t xml:space="preserve"> uz, naravno, prihvatanje novih metoda brige o korisnicima. Na kraju, proces deinstitucionalizacije nije moguć bez lidera, entuzijasta koji će gurati ovaj proces napr</w:t>
      </w:r>
      <w:r w:rsidR="00364FDB" w:rsidRPr="00C00F2A">
        <w:rPr>
          <w:sz w:val="22"/>
          <w:szCs w:val="22"/>
        </w:rPr>
        <w:t>ij</w:t>
      </w:r>
      <w:r w:rsidR="00E12674" w:rsidRPr="00C00F2A">
        <w:rPr>
          <w:sz w:val="22"/>
          <w:szCs w:val="22"/>
        </w:rPr>
        <w:t xml:space="preserve">ed, kako među </w:t>
      </w:r>
      <w:r w:rsidR="00D35335" w:rsidRPr="00C00F2A">
        <w:rPr>
          <w:sz w:val="22"/>
          <w:szCs w:val="22"/>
        </w:rPr>
        <w:t>stručnim osobljem tako i među up</w:t>
      </w:r>
      <w:r w:rsidR="00E12674" w:rsidRPr="00C00F2A">
        <w:rPr>
          <w:sz w:val="22"/>
          <w:szCs w:val="22"/>
        </w:rPr>
        <w:t>ravnicima, političarima i svim drugim ljudima voljnim da se angažuju na unapređenju položaja osoba sa mentalnim smetnjama.</w:t>
      </w:r>
    </w:p>
    <w:p w:rsidR="00D32E1B" w:rsidRDefault="00D32E1B" w:rsidP="009B6FB5">
      <w:pPr>
        <w:spacing w:before="0" w:after="0"/>
        <w:jc w:val="both"/>
        <w:rPr>
          <w:sz w:val="22"/>
          <w:szCs w:val="22"/>
        </w:rPr>
      </w:pPr>
      <w:r w:rsidRPr="00C00F2A">
        <w:rPr>
          <w:noProof/>
          <w:sz w:val="22"/>
          <w:szCs w:val="22"/>
          <w:lang w:val="en-US"/>
        </w:rPr>
        <w:lastRenderedPageBreak/>
        <mc:AlternateContent>
          <mc:Choice Requires="wps">
            <w:drawing>
              <wp:anchor distT="0" distB="0" distL="114300" distR="114300" simplePos="0" relativeHeight="251660800" behindDoc="0" locked="0" layoutInCell="1" allowOverlap="1" wp14:anchorId="50A01A84" wp14:editId="29260F00">
                <wp:simplePos x="0" y="0"/>
                <wp:positionH relativeFrom="column">
                  <wp:posOffset>8255</wp:posOffset>
                </wp:positionH>
                <wp:positionV relativeFrom="paragraph">
                  <wp:posOffset>1310640</wp:posOffset>
                </wp:positionV>
                <wp:extent cx="5986145" cy="4192270"/>
                <wp:effectExtent l="0" t="0" r="14605" b="17780"/>
                <wp:wrapTopAndBottom/>
                <wp:docPr id="11" name="Rounded Rectangle 11"/>
                <wp:cNvGraphicFramePr/>
                <a:graphic xmlns:a="http://schemas.openxmlformats.org/drawingml/2006/main">
                  <a:graphicData uri="http://schemas.microsoft.com/office/word/2010/wordprocessingShape">
                    <wps:wsp>
                      <wps:cNvSpPr/>
                      <wps:spPr>
                        <a:xfrm>
                          <a:off x="0" y="0"/>
                          <a:ext cx="5986145" cy="419227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F67406" w:rsidRPr="00D32E1B" w:rsidRDefault="00F67406" w:rsidP="00400023">
                            <w:pPr>
                              <w:jc w:val="both"/>
                              <w:rPr>
                                <w:sz w:val="22"/>
                                <w:szCs w:val="24"/>
                              </w:rPr>
                            </w:pPr>
                            <w:r w:rsidRPr="00D32E1B">
                              <w:rPr>
                                <w:sz w:val="22"/>
                                <w:szCs w:val="24"/>
                              </w:rPr>
                              <w:t>Države članice EU, države u procesu pristupanja i države kandidati za pristup EU mogu koristiti sredstva Evropske unije – strukturne i IPA fondove – za pokrivanje dvostrukih troškova koji su neminovni tokom prelaska sa institucionalne zaštite na brigu i liječenje u zajednici. Da bi to bilo moguće, potrebno je u Ugovoru o partnerstvu i Operativnim programima za predstojeći period programiranja, identifikovati deinstitucionalizaciju različitih ciljnih grupa kao jednu od prioritetnih aktivnosti. Iz ovih fondova mogu se pokriti različite oblasti reforme, uključujući:</w:t>
                            </w:r>
                          </w:p>
                          <w:p w:rsidR="00F67406" w:rsidRPr="00D32E1B" w:rsidRDefault="00F67406" w:rsidP="00400023">
                            <w:pPr>
                              <w:pStyle w:val="ListParagraph"/>
                              <w:numPr>
                                <w:ilvl w:val="0"/>
                                <w:numId w:val="21"/>
                              </w:numPr>
                              <w:jc w:val="both"/>
                              <w:rPr>
                                <w:sz w:val="22"/>
                                <w:szCs w:val="24"/>
                              </w:rPr>
                            </w:pPr>
                            <w:r w:rsidRPr="00D32E1B">
                              <w:rPr>
                                <w:sz w:val="22"/>
                                <w:szCs w:val="24"/>
                              </w:rPr>
                              <w:t xml:space="preserve">infrastrukturna ulaganja - npr. stambeni prostor, kao i adaptacija stanova; </w:t>
                            </w:r>
                          </w:p>
                          <w:p w:rsidR="00F67406" w:rsidRPr="00D32E1B" w:rsidRDefault="00F67406" w:rsidP="00400023">
                            <w:pPr>
                              <w:pStyle w:val="ListParagraph"/>
                              <w:numPr>
                                <w:ilvl w:val="0"/>
                                <w:numId w:val="21"/>
                              </w:numPr>
                              <w:jc w:val="both"/>
                              <w:rPr>
                                <w:sz w:val="22"/>
                                <w:szCs w:val="24"/>
                              </w:rPr>
                            </w:pPr>
                            <w:r w:rsidRPr="00D32E1B">
                              <w:rPr>
                                <w:sz w:val="22"/>
                                <w:szCs w:val="24"/>
                              </w:rPr>
                              <w:t xml:space="preserve">obuka zaposlenih za rad u  novim službama; </w:t>
                            </w:r>
                          </w:p>
                          <w:p w:rsidR="00F67406" w:rsidRPr="00D32E1B" w:rsidRDefault="00F67406" w:rsidP="00400023">
                            <w:pPr>
                              <w:pStyle w:val="ListParagraph"/>
                              <w:numPr>
                                <w:ilvl w:val="0"/>
                                <w:numId w:val="21"/>
                              </w:numPr>
                              <w:jc w:val="both"/>
                              <w:rPr>
                                <w:b/>
                                <w:sz w:val="22"/>
                                <w:szCs w:val="24"/>
                              </w:rPr>
                            </w:pPr>
                            <w:r w:rsidRPr="00D32E1B">
                              <w:rPr>
                                <w:sz w:val="22"/>
                                <w:szCs w:val="24"/>
                              </w:rPr>
                              <w:t xml:space="preserve">stvaranje mogućnosti zapošljavanja u zajednici (otvaranje novih radnih mjesta); i </w:t>
                            </w:r>
                          </w:p>
                          <w:p w:rsidR="00F67406" w:rsidRPr="00D32E1B" w:rsidRDefault="00F67406" w:rsidP="00400023">
                            <w:pPr>
                              <w:pStyle w:val="ListParagraph"/>
                              <w:numPr>
                                <w:ilvl w:val="0"/>
                                <w:numId w:val="21"/>
                              </w:numPr>
                              <w:jc w:val="both"/>
                              <w:rPr>
                                <w:b/>
                                <w:sz w:val="22"/>
                                <w:szCs w:val="24"/>
                              </w:rPr>
                            </w:pPr>
                            <w:r w:rsidRPr="00D32E1B">
                              <w:rPr>
                                <w:sz w:val="22"/>
                                <w:szCs w:val="24"/>
                              </w:rPr>
                              <w:t>tehničku pomoć, uključujući procjenu potreba i koordinaciju ili upravljanje cjelokupnim procesom promjene.</w:t>
                            </w:r>
                          </w:p>
                          <w:p w:rsidR="00F67406" w:rsidRPr="00D32E1B" w:rsidRDefault="00F67406" w:rsidP="00C00F2A">
                            <w:pPr>
                              <w:spacing w:line="240" w:lineRule="auto"/>
                              <w:jc w:val="both"/>
                              <w:rPr>
                                <w:sz w:val="22"/>
                                <w:szCs w:val="24"/>
                              </w:rPr>
                            </w:pPr>
                            <w:r w:rsidRPr="00D32E1B">
                              <w:rPr>
                                <w:sz w:val="22"/>
                                <w:szCs w:val="24"/>
                              </w:rPr>
                              <w:t>Tako se, na primjer, Evropski fond za regionali razvoj (ERDF) može iskoristiti za unapređenje fizičke infrastrukture službi za mentalno zdravlje, dok se aktivnosti poput promovisanja socijane inkluzije osoba sa mentalnim smetnjama ili obuke profesionalaca u oblasti mentalnog zdravlja, mogu finansirati iz Evropskog socijalnog fonda (ESF).</w:t>
                            </w:r>
                          </w:p>
                          <w:p w:rsidR="00F67406" w:rsidRPr="00C00F2A" w:rsidRDefault="00F67406" w:rsidP="00C00F2A">
                            <w:pPr>
                              <w:spacing w:line="240" w:lineRule="auto"/>
                              <w:jc w:val="right"/>
                              <w:rPr>
                                <w:i/>
                                <w:szCs w:val="24"/>
                              </w:rPr>
                            </w:pPr>
                            <w:r w:rsidRPr="00C00F2A">
                              <w:rPr>
                                <w:i/>
                                <w:szCs w:val="24"/>
                              </w:rPr>
                              <w:t xml:space="preserve">* </w:t>
                            </w:r>
                            <w:r w:rsidRPr="00C00F2A">
                              <w:rPr>
                                <w:b/>
                                <w:i/>
                                <w:szCs w:val="24"/>
                                <w:vertAlign w:val="subscript"/>
                              </w:rPr>
                              <w:t>preuzeto iz Jedinstvenih evropskih smjernica za prelazak sa institucionalne zaštite na brigu i podršku u zajednici</w:t>
                            </w:r>
                          </w:p>
                          <w:p w:rsidR="00F67406" w:rsidRPr="00FF4CC8" w:rsidRDefault="00F67406" w:rsidP="00FF4CC8">
                            <w:pPr>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9" style="position:absolute;left:0;text-align:left;margin-left:.65pt;margin-top:103.2pt;width:471.35pt;height:330.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" fillcolor="white [3201]" strokecolor="#4f81bd [3204]" strokeweight="2pt">
                <v:textbox>
                  <w:txbxContent>
                    <w:p w:rsidR="009B6FB5" w:rsidRPr="00D32E1B" w:rsidRDefault="009B6FB5" w:rsidP="00400023">
                      <w:pPr>
                        <w:jc w:val="both"/>
                        <w:rPr>
                          <w:sz w:val="22"/>
                          <w:szCs w:val="24"/>
                        </w:rPr>
                      </w:pPr>
                      <w:r w:rsidRPr="00D32E1B">
                        <w:rPr>
                          <w:sz w:val="22"/>
                          <w:szCs w:val="24"/>
                        </w:rPr>
                        <w:t>Države članice EU, države u procesu pristupanja i države kandidati za pristup EU mogu koristiti sredstva Evropske unije – strukturne i IPA fondove – za pokrivanje dvostrukih troškova koji su neminovni tokom prelaska sa institucionalne zaštite na brigu i l</w:t>
                      </w:r>
                      <w:r w:rsidRPr="00D32E1B">
                        <w:rPr>
                          <w:sz w:val="22"/>
                          <w:szCs w:val="24"/>
                          <w:lang w:val="sr-Latn-ME"/>
                        </w:rPr>
                        <w:t>ij</w:t>
                      </w:r>
                      <w:r w:rsidRPr="00D32E1B">
                        <w:rPr>
                          <w:sz w:val="22"/>
                          <w:szCs w:val="24"/>
                        </w:rPr>
                        <w:t>ečenje u zajednici. Da bi to bilo moguće, potrebno je u Ugovoru o partnerstvu i Operativnim programima za predstojeći period programiranja</w:t>
                      </w:r>
                      <w:r w:rsidRPr="00D32E1B">
                        <w:rPr>
                          <w:sz w:val="22"/>
                          <w:szCs w:val="24"/>
                          <w:lang w:val="sr-Latn-ME"/>
                        </w:rPr>
                        <w:t>,</w:t>
                      </w:r>
                      <w:r w:rsidRPr="00D32E1B">
                        <w:rPr>
                          <w:sz w:val="22"/>
                          <w:szCs w:val="24"/>
                        </w:rPr>
                        <w:t xml:space="preserve"> identifikovati deinstitucionalizaciju različitih ciljnih grupa kao jednu od prioritetnih aktivnosti. Iz ovih fondova mogu se pokriti različite oblasti reforme, uključujući:</w:t>
                      </w:r>
                    </w:p>
                    <w:p w:rsidR="009B6FB5" w:rsidRPr="00D32E1B" w:rsidRDefault="009B6FB5" w:rsidP="00400023">
                      <w:pPr>
                        <w:pStyle w:val="ListParagraph"/>
                        <w:numPr>
                          <w:ilvl w:val="0"/>
                          <w:numId w:val="21"/>
                        </w:numPr>
                        <w:jc w:val="both"/>
                        <w:rPr>
                          <w:sz w:val="22"/>
                          <w:szCs w:val="24"/>
                        </w:rPr>
                      </w:pPr>
                      <w:r w:rsidRPr="00D32E1B">
                        <w:rPr>
                          <w:sz w:val="22"/>
                          <w:szCs w:val="24"/>
                        </w:rPr>
                        <w:t xml:space="preserve">infrastrukturna ulaganja - npr. stambeni prostor, kao i adaptacija stanova; </w:t>
                      </w:r>
                    </w:p>
                    <w:p w:rsidR="009B6FB5" w:rsidRPr="00D32E1B" w:rsidRDefault="009B6FB5" w:rsidP="00400023">
                      <w:pPr>
                        <w:pStyle w:val="ListParagraph"/>
                        <w:numPr>
                          <w:ilvl w:val="0"/>
                          <w:numId w:val="21"/>
                        </w:numPr>
                        <w:jc w:val="both"/>
                        <w:rPr>
                          <w:sz w:val="22"/>
                          <w:szCs w:val="24"/>
                        </w:rPr>
                      </w:pPr>
                      <w:r w:rsidRPr="00D32E1B">
                        <w:rPr>
                          <w:sz w:val="22"/>
                          <w:szCs w:val="24"/>
                        </w:rPr>
                        <w:t xml:space="preserve">obuka zaposlenih za rad u  novim službama; </w:t>
                      </w:r>
                    </w:p>
                    <w:p w:rsidR="009B6FB5" w:rsidRPr="00D32E1B" w:rsidRDefault="009B6FB5" w:rsidP="00400023">
                      <w:pPr>
                        <w:pStyle w:val="ListParagraph"/>
                        <w:numPr>
                          <w:ilvl w:val="0"/>
                          <w:numId w:val="21"/>
                        </w:numPr>
                        <w:jc w:val="both"/>
                        <w:rPr>
                          <w:b/>
                          <w:sz w:val="22"/>
                          <w:szCs w:val="24"/>
                        </w:rPr>
                      </w:pPr>
                      <w:r w:rsidRPr="00D32E1B">
                        <w:rPr>
                          <w:sz w:val="22"/>
                          <w:szCs w:val="24"/>
                        </w:rPr>
                        <w:t>stvaranje mogućnosti zapošljavanja u zajednici (otvaranje novih radnih m</w:t>
                      </w:r>
                      <w:r w:rsidRPr="00D32E1B">
                        <w:rPr>
                          <w:sz w:val="22"/>
                          <w:szCs w:val="24"/>
                          <w:lang w:val="sr-Latn-ME"/>
                        </w:rPr>
                        <w:t>j</w:t>
                      </w:r>
                      <w:r w:rsidRPr="00D32E1B">
                        <w:rPr>
                          <w:sz w:val="22"/>
                          <w:szCs w:val="24"/>
                        </w:rPr>
                        <w:t xml:space="preserve">esta); i </w:t>
                      </w:r>
                    </w:p>
                    <w:p w:rsidR="009B6FB5" w:rsidRPr="00D32E1B" w:rsidRDefault="009B6FB5" w:rsidP="00400023">
                      <w:pPr>
                        <w:pStyle w:val="ListParagraph"/>
                        <w:numPr>
                          <w:ilvl w:val="0"/>
                          <w:numId w:val="21"/>
                        </w:numPr>
                        <w:jc w:val="both"/>
                        <w:rPr>
                          <w:b/>
                          <w:sz w:val="22"/>
                          <w:szCs w:val="24"/>
                        </w:rPr>
                      </w:pPr>
                      <w:r w:rsidRPr="00D32E1B">
                        <w:rPr>
                          <w:sz w:val="22"/>
                          <w:szCs w:val="24"/>
                        </w:rPr>
                        <w:t>tehničku pomoć, uključujući proc</w:t>
                      </w:r>
                      <w:r w:rsidRPr="00D32E1B">
                        <w:rPr>
                          <w:sz w:val="22"/>
                          <w:szCs w:val="24"/>
                          <w:lang w:val="sr-Latn-ME"/>
                        </w:rPr>
                        <w:t>j</w:t>
                      </w:r>
                      <w:r w:rsidRPr="00D32E1B">
                        <w:rPr>
                          <w:sz w:val="22"/>
                          <w:szCs w:val="24"/>
                        </w:rPr>
                        <w:t>enu potreba i koordinaciju ili upravljanje c</w:t>
                      </w:r>
                      <w:r w:rsidRPr="00D32E1B">
                        <w:rPr>
                          <w:sz w:val="22"/>
                          <w:szCs w:val="24"/>
                          <w:lang w:val="sr-Latn-ME"/>
                        </w:rPr>
                        <w:t>j</w:t>
                      </w:r>
                      <w:r w:rsidRPr="00D32E1B">
                        <w:rPr>
                          <w:sz w:val="22"/>
                          <w:szCs w:val="24"/>
                        </w:rPr>
                        <w:t>elokupnim procesom prom</w:t>
                      </w:r>
                      <w:r w:rsidRPr="00D32E1B">
                        <w:rPr>
                          <w:sz w:val="22"/>
                          <w:szCs w:val="24"/>
                          <w:lang w:val="sr-Latn-ME"/>
                        </w:rPr>
                        <w:t>j</w:t>
                      </w:r>
                      <w:r w:rsidRPr="00D32E1B">
                        <w:rPr>
                          <w:sz w:val="22"/>
                          <w:szCs w:val="24"/>
                        </w:rPr>
                        <w:t>ene.</w:t>
                      </w:r>
                    </w:p>
                    <w:p w:rsidR="00C00F2A" w:rsidRPr="00D32E1B" w:rsidRDefault="009B6FB5" w:rsidP="00C00F2A">
                      <w:pPr>
                        <w:spacing w:line="240" w:lineRule="auto"/>
                        <w:jc w:val="both"/>
                        <w:rPr>
                          <w:sz w:val="22"/>
                          <w:szCs w:val="24"/>
                          <w:lang w:val="sr-Latn-ME"/>
                        </w:rPr>
                      </w:pPr>
                      <w:r w:rsidRPr="00D32E1B">
                        <w:rPr>
                          <w:sz w:val="22"/>
                          <w:szCs w:val="24"/>
                        </w:rPr>
                        <w:t>Tako se, na prim</w:t>
                      </w:r>
                      <w:r w:rsidRPr="00D32E1B">
                        <w:rPr>
                          <w:sz w:val="22"/>
                          <w:szCs w:val="24"/>
                          <w:lang w:val="sr-Latn-ME"/>
                        </w:rPr>
                        <w:t>j</w:t>
                      </w:r>
                      <w:r w:rsidRPr="00D32E1B">
                        <w:rPr>
                          <w:sz w:val="22"/>
                          <w:szCs w:val="24"/>
                        </w:rPr>
                        <w:t>er, Evropski fond za regionali razvoj (ERDF) može iskoristiti za unapređenje</w:t>
                      </w:r>
                      <w:r w:rsidRPr="00D32E1B">
                        <w:rPr>
                          <w:sz w:val="22"/>
                          <w:szCs w:val="24"/>
                          <w:lang w:val="sr-Latn-ME"/>
                        </w:rPr>
                        <w:t xml:space="preserve"> </w:t>
                      </w:r>
                      <w:r w:rsidRPr="00D32E1B">
                        <w:rPr>
                          <w:sz w:val="22"/>
                          <w:szCs w:val="24"/>
                        </w:rPr>
                        <w:t>fizičke infrastrukture službi za mentalno zdravlje, dok se aktivnosti poput promovisanja socijane inkluzije osoba sa mentalnim smetnjama ili obuke profesionalaca u oblasti mentalnog zdravlja</w:t>
                      </w:r>
                      <w:r w:rsidRPr="00D32E1B">
                        <w:rPr>
                          <w:sz w:val="22"/>
                          <w:szCs w:val="24"/>
                          <w:lang w:val="sr-Latn-ME"/>
                        </w:rPr>
                        <w:t>,</w:t>
                      </w:r>
                      <w:r w:rsidRPr="00D32E1B">
                        <w:rPr>
                          <w:sz w:val="22"/>
                          <w:szCs w:val="24"/>
                        </w:rPr>
                        <w:t xml:space="preserve"> mogu finansirati iz Evropskog socijalnog fonda (ESF).</w:t>
                      </w:r>
                    </w:p>
                    <w:p w:rsidR="009B6FB5" w:rsidRPr="00C00F2A" w:rsidRDefault="009B6FB5" w:rsidP="00C00F2A">
                      <w:pPr>
                        <w:spacing w:line="240" w:lineRule="auto"/>
                        <w:jc w:val="right"/>
                        <w:rPr>
                          <w:i/>
                          <w:szCs w:val="24"/>
                        </w:rPr>
                      </w:pPr>
                      <w:r w:rsidRPr="00C00F2A">
                        <w:rPr>
                          <w:i/>
                          <w:szCs w:val="24"/>
                        </w:rPr>
                        <w:t xml:space="preserve">* </w:t>
                      </w:r>
                      <w:r w:rsidRPr="00C00F2A">
                        <w:rPr>
                          <w:b/>
                          <w:i/>
                          <w:szCs w:val="24"/>
                          <w:vertAlign w:val="subscript"/>
                        </w:rPr>
                        <w:t>preuzeto iz Jedinstvenih evropskih sm</w:t>
                      </w:r>
                      <w:r w:rsidRPr="00C00F2A">
                        <w:rPr>
                          <w:b/>
                          <w:i/>
                          <w:szCs w:val="24"/>
                          <w:vertAlign w:val="subscript"/>
                          <w:lang w:val="sr-Latn-ME"/>
                        </w:rPr>
                        <w:t>j</w:t>
                      </w:r>
                      <w:r w:rsidRPr="00C00F2A">
                        <w:rPr>
                          <w:b/>
                          <w:i/>
                          <w:szCs w:val="24"/>
                          <w:vertAlign w:val="subscript"/>
                        </w:rPr>
                        <w:t>ernica za prelazak sa institucionalne zaštite na brigu i podršku u zajednici</w:t>
                      </w:r>
                    </w:p>
                    <w:p w:rsidR="009B6FB5" w:rsidRPr="00FF4CC8" w:rsidRDefault="009B6FB5" w:rsidP="00FF4CC8">
                      <w:pPr>
                        <w:rPr>
                          <w:szCs w:val="24"/>
                        </w:rPr>
                      </w:pPr>
                    </w:p>
                  </w:txbxContent>
                </v:textbox>
                <w10:wrap type="topAndBottom"/>
              </v:roundrect>
            </w:pict>
          </mc:Fallback>
        </mc:AlternateContent>
      </w:r>
      <w:r w:rsidR="00E12674" w:rsidRPr="00C00F2A">
        <w:rPr>
          <w:sz w:val="22"/>
          <w:szCs w:val="22"/>
        </w:rPr>
        <w:t>Često se nedostatak finansija koristi kao opravdanje za nezapočinjanje</w:t>
      </w:r>
      <w:r w:rsidR="00C81BB9" w:rsidRPr="00C00F2A">
        <w:rPr>
          <w:sz w:val="22"/>
          <w:szCs w:val="22"/>
        </w:rPr>
        <w:t>,</w:t>
      </w:r>
      <w:r w:rsidR="00E12674" w:rsidRPr="00C00F2A">
        <w:rPr>
          <w:sz w:val="22"/>
          <w:szCs w:val="22"/>
        </w:rPr>
        <w:t xml:space="preserve"> ili sporu implementaciju procesa deinstitucionalizacije. Ovd</w:t>
      </w:r>
      <w:r w:rsidR="00C81BB9" w:rsidRPr="00C00F2A">
        <w:rPr>
          <w:sz w:val="22"/>
          <w:szCs w:val="22"/>
        </w:rPr>
        <w:t>j</w:t>
      </w:r>
      <w:r w:rsidR="00E12674" w:rsidRPr="00C00F2A">
        <w:rPr>
          <w:sz w:val="22"/>
          <w:szCs w:val="22"/>
        </w:rPr>
        <w:t>e ćemo se osvrnuti na strateško opred</w:t>
      </w:r>
      <w:r w:rsidR="00C81BB9" w:rsidRPr="00C00F2A">
        <w:rPr>
          <w:sz w:val="22"/>
          <w:szCs w:val="22"/>
        </w:rPr>
        <w:t>j</w:t>
      </w:r>
      <w:r w:rsidR="00E12674" w:rsidRPr="00C00F2A">
        <w:rPr>
          <w:sz w:val="22"/>
          <w:szCs w:val="22"/>
        </w:rPr>
        <w:t>eljenje Evropske unije i fondove koji su na raspolaganju kako bi se proces deinsitucionalizacije podržao</w:t>
      </w:r>
      <w:r w:rsidR="00C81BB9" w:rsidRPr="00C00F2A">
        <w:rPr>
          <w:sz w:val="22"/>
          <w:szCs w:val="22"/>
        </w:rPr>
        <w:t>,</w:t>
      </w:r>
      <w:r w:rsidR="00E12674" w:rsidRPr="00C00F2A">
        <w:rPr>
          <w:sz w:val="22"/>
          <w:szCs w:val="22"/>
        </w:rPr>
        <w:t xml:space="preserve"> kako u zemljama članicama</w:t>
      </w:r>
      <w:r w:rsidR="00C81BB9" w:rsidRPr="00C00F2A">
        <w:rPr>
          <w:sz w:val="22"/>
          <w:szCs w:val="22"/>
        </w:rPr>
        <w:t>,</w:t>
      </w:r>
      <w:r w:rsidR="00E12674" w:rsidRPr="00C00F2A">
        <w:rPr>
          <w:sz w:val="22"/>
          <w:szCs w:val="22"/>
        </w:rPr>
        <w:t xml:space="preserve"> tako i u zemljama koje su u </w:t>
      </w:r>
      <w:r w:rsidR="00E12674" w:rsidRPr="00C00F2A">
        <w:rPr>
          <w:b/>
          <w:sz w:val="22"/>
          <w:szCs w:val="22"/>
        </w:rPr>
        <w:t>procesu pristupanja Evropskoj uniji.</w:t>
      </w:r>
      <w:r w:rsidR="00422C5E" w:rsidRPr="00C00F2A">
        <w:rPr>
          <w:b/>
          <w:sz w:val="22"/>
          <w:szCs w:val="22"/>
        </w:rPr>
        <w:t xml:space="preserve"> </w:t>
      </w:r>
      <w:r w:rsidR="00422C5E" w:rsidRPr="00C00F2A">
        <w:rPr>
          <w:sz w:val="22"/>
          <w:szCs w:val="22"/>
        </w:rPr>
        <w:t>Važno je napomenuti da je Evropska unija ratifikovala Konvenciju o pravima osoba sa invaliditetom. To je prvi i, za sada, jedini međunarodni ugovor kome je Evropska unija pristupila kao regionalno t</w:t>
      </w:r>
      <w:r w:rsidR="00C81BB9" w:rsidRPr="00C00F2A">
        <w:rPr>
          <w:sz w:val="22"/>
          <w:szCs w:val="22"/>
        </w:rPr>
        <w:t>ij</w:t>
      </w:r>
      <w:r w:rsidR="00422C5E" w:rsidRPr="00C00F2A">
        <w:rPr>
          <w:sz w:val="22"/>
          <w:szCs w:val="22"/>
        </w:rPr>
        <w:t>elo.</w:t>
      </w:r>
      <w:r w:rsidR="00C00F2A" w:rsidRPr="00C00F2A">
        <w:rPr>
          <w:sz w:val="22"/>
          <w:szCs w:val="22"/>
        </w:rPr>
        <w:t xml:space="preserve"> </w:t>
      </w:r>
    </w:p>
    <w:p w:rsidR="00D32E1B" w:rsidRDefault="00D32E1B" w:rsidP="009B6FB5">
      <w:pPr>
        <w:spacing w:before="0" w:after="0"/>
        <w:jc w:val="both"/>
        <w:rPr>
          <w:sz w:val="22"/>
          <w:szCs w:val="22"/>
        </w:rPr>
      </w:pPr>
    </w:p>
    <w:p w:rsidR="004E09B9" w:rsidRPr="00C00F2A" w:rsidRDefault="0094175F" w:rsidP="009B6FB5">
      <w:pPr>
        <w:spacing w:before="0" w:after="0"/>
        <w:jc w:val="both"/>
        <w:rPr>
          <w:sz w:val="22"/>
          <w:szCs w:val="22"/>
        </w:rPr>
      </w:pPr>
      <w:r w:rsidRPr="00C00F2A">
        <w:rPr>
          <w:sz w:val="22"/>
          <w:szCs w:val="22"/>
        </w:rPr>
        <w:t>U skladu sa odredbama Konvencije o pravima osoba sa invaliditetom, Konvencije o pravima d</w:t>
      </w:r>
      <w:r w:rsidR="003A447C" w:rsidRPr="00C00F2A">
        <w:rPr>
          <w:sz w:val="22"/>
          <w:szCs w:val="22"/>
        </w:rPr>
        <w:t>j</w:t>
      </w:r>
      <w:r w:rsidRPr="00C00F2A">
        <w:rPr>
          <w:sz w:val="22"/>
          <w:szCs w:val="22"/>
        </w:rPr>
        <w:t>eteta i Evropske konvencije o ljudskim pravima, države članice Evropske unije trebalo bi da sprovode m</w:t>
      </w:r>
      <w:r w:rsidR="003A447C" w:rsidRPr="00C00F2A">
        <w:rPr>
          <w:sz w:val="22"/>
          <w:szCs w:val="22"/>
        </w:rPr>
        <w:t>j</w:t>
      </w:r>
      <w:r w:rsidRPr="00C00F2A">
        <w:rPr>
          <w:sz w:val="22"/>
          <w:szCs w:val="22"/>
        </w:rPr>
        <w:t>ere</w:t>
      </w:r>
      <w:r w:rsidR="003A447C" w:rsidRPr="00C00F2A">
        <w:rPr>
          <w:sz w:val="22"/>
          <w:szCs w:val="22"/>
        </w:rPr>
        <w:t>,</w:t>
      </w:r>
      <w:r w:rsidRPr="00C00F2A">
        <w:rPr>
          <w:sz w:val="22"/>
          <w:szCs w:val="22"/>
        </w:rPr>
        <w:t xml:space="preserve"> koje podstiču prelazak sa institucionalne zaštite na b</w:t>
      </w:r>
      <w:r w:rsidR="003A447C" w:rsidRPr="00C00F2A">
        <w:rPr>
          <w:sz w:val="22"/>
          <w:szCs w:val="22"/>
        </w:rPr>
        <w:t>r</w:t>
      </w:r>
      <w:r w:rsidRPr="00C00F2A">
        <w:rPr>
          <w:sz w:val="22"/>
          <w:szCs w:val="22"/>
        </w:rPr>
        <w:t>igu i podršku u zajednici. Među ključnim članovima Konvencije o pravima osoba sa invaliditetom od značaja za proces de</w:t>
      </w:r>
      <w:r w:rsidR="003A447C" w:rsidRPr="00C00F2A">
        <w:rPr>
          <w:sz w:val="22"/>
          <w:szCs w:val="22"/>
        </w:rPr>
        <w:t>institucionalizacije je član 19,</w:t>
      </w:r>
      <w:r w:rsidRPr="00C00F2A">
        <w:rPr>
          <w:sz w:val="22"/>
          <w:szCs w:val="22"/>
        </w:rPr>
        <w:t xml:space="preserve"> koji propisuje pravo na samostalan život</w:t>
      </w:r>
      <w:r w:rsidR="004E09B9" w:rsidRPr="00C00F2A">
        <w:rPr>
          <w:sz w:val="22"/>
          <w:szCs w:val="22"/>
        </w:rPr>
        <w:t>.</w:t>
      </w:r>
      <w:r w:rsidR="00FF4CC8" w:rsidRPr="00C00F2A">
        <w:rPr>
          <w:rStyle w:val="FootnoteReference"/>
          <w:sz w:val="22"/>
          <w:szCs w:val="22"/>
        </w:rPr>
        <w:t xml:space="preserve"> </w:t>
      </w:r>
      <w:r w:rsidR="00FF4CC8" w:rsidRPr="00C00F2A">
        <w:rPr>
          <w:rStyle w:val="FootnoteReference"/>
          <w:sz w:val="22"/>
          <w:szCs w:val="22"/>
        </w:rPr>
        <w:footnoteReference w:id="16"/>
      </w:r>
    </w:p>
    <w:p w:rsidR="004E09B9" w:rsidRPr="00C00F2A" w:rsidRDefault="00360448" w:rsidP="00400023">
      <w:pPr>
        <w:jc w:val="both"/>
        <w:rPr>
          <w:sz w:val="22"/>
          <w:szCs w:val="22"/>
        </w:rPr>
      </w:pPr>
      <w:r w:rsidRPr="00C00F2A">
        <w:rPr>
          <w:sz w:val="22"/>
          <w:szCs w:val="22"/>
        </w:rPr>
        <w:t>Evropska strategija za osobe sa invaliditetom 2010 – 2020 pruža okvir za osnaživanje osoba sa invaliditetom da učestvuju u društvu i obezb</w:t>
      </w:r>
      <w:r w:rsidR="00C66863" w:rsidRPr="00C00F2A">
        <w:rPr>
          <w:sz w:val="22"/>
          <w:szCs w:val="22"/>
        </w:rPr>
        <w:t>ij</w:t>
      </w:r>
      <w:r w:rsidRPr="00C00F2A">
        <w:rPr>
          <w:sz w:val="22"/>
          <w:szCs w:val="22"/>
        </w:rPr>
        <w:t>ede uživanje osnovnih ljudskih prava. Strategija ponavlja da se Evropska unija obavezala da promoviše učešće osoba sa invaliditetom u slobodnim aktivnostima, zapošljavanju, obrazovanju, zdravstvu, socijalnim uslugama i da se postigne prelazak sa in</w:t>
      </w:r>
      <w:r w:rsidR="00130CB3" w:rsidRPr="00C00F2A">
        <w:rPr>
          <w:sz w:val="22"/>
          <w:szCs w:val="22"/>
        </w:rPr>
        <w:t>s</w:t>
      </w:r>
      <w:r w:rsidRPr="00C00F2A">
        <w:rPr>
          <w:sz w:val="22"/>
          <w:szCs w:val="22"/>
        </w:rPr>
        <w:t>titucionalne zaštite na brigu i podršku u zajednici</w:t>
      </w:r>
      <w:r w:rsidR="004E09B9" w:rsidRPr="00C00F2A">
        <w:rPr>
          <w:sz w:val="22"/>
          <w:szCs w:val="22"/>
        </w:rPr>
        <w:t>.</w:t>
      </w:r>
    </w:p>
    <w:p w:rsidR="00497C57" w:rsidRPr="00C00F2A" w:rsidRDefault="00D35335" w:rsidP="00400023">
      <w:pPr>
        <w:jc w:val="both"/>
        <w:rPr>
          <w:sz w:val="22"/>
          <w:szCs w:val="22"/>
        </w:rPr>
      </w:pPr>
      <w:r w:rsidRPr="00C00F2A">
        <w:rPr>
          <w:sz w:val="22"/>
          <w:szCs w:val="22"/>
        </w:rPr>
        <w:lastRenderedPageBreak/>
        <w:t>Evropski strukturni i inve</w:t>
      </w:r>
      <w:r w:rsidR="00281758" w:rsidRPr="00C00F2A">
        <w:rPr>
          <w:sz w:val="22"/>
          <w:szCs w:val="22"/>
        </w:rPr>
        <w:t>sticioni fondovi (ESIF) mogu podržati širok dijapazon m</w:t>
      </w:r>
      <w:r w:rsidR="00C66863" w:rsidRPr="00C00F2A">
        <w:rPr>
          <w:sz w:val="22"/>
          <w:szCs w:val="22"/>
        </w:rPr>
        <w:t>j</w:t>
      </w:r>
      <w:r w:rsidR="00281758" w:rsidRPr="00C00F2A">
        <w:rPr>
          <w:sz w:val="22"/>
          <w:szCs w:val="22"/>
        </w:rPr>
        <w:t>era u skladu sa zaht</w:t>
      </w:r>
      <w:r w:rsidR="00C66863" w:rsidRPr="00C00F2A">
        <w:rPr>
          <w:sz w:val="22"/>
          <w:szCs w:val="22"/>
        </w:rPr>
        <w:t>j</w:t>
      </w:r>
      <w:r w:rsidR="00281758" w:rsidRPr="00C00F2A">
        <w:rPr>
          <w:sz w:val="22"/>
          <w:szCs w:val="22"/>
        </w:rPr>
        <w:t>evima strateškog okvira za smanjenje siromaštva (tematsk</w:t>
      </w:r>
      <w:r w:rsidRPr="00C00F2A">
        <w:rPr>
          <w:sz w:val="22"/>
          <w:szCs w:val="22"/>
        </w:rPr>
        <w:t>a c</w:t>
      </w:r>
      <w:r w:rsidR="00C66863" w:rsidRPr="00C00F2A">
        <w:rPr>
          <w:sz w:val="22"/>
          <w:szCs w:val="22"/>
        </w:rPr>
        <w:t>j</w:t>
      </w:r>
      <w:r w:rsidRPr="00C00F2A">
        <w:rPr>
          <w:sz w:val="22"/>
          <w:szCs w:val="22"/>
        </w:rPr>
        <w:t>elina 9)</w:t>
      </w:r>
      <w:r w:rsidR="00C66863" w:rsidRPr="00C00F2A">
        <w:rPr>
          <w:sz w:val="22"/>
          <w:szCs w:val="22"/>
        </w:rPr>
        <w:t>,</w:t>
      </w:r>
      <w:r w:rsidRPr="00C00F2A">
        <w:rPr>
          <w:sz w:val="22"/>
          <w:szCs w:val="22"/>
        </w:rPr>
        <w:t xml:space="preserve"> da bi se spr</w:t>
      </w:r>
      <w:r w:rsidR="00C66863" w:rsidRPr="00C00F2A">
        <w:rPr>
          <w:sz w:val="22"/>
          <w:szCs w:val="22"/>
        </w:rPr>
        <w:t>ij</w:t>
      </w:r>
      <w:r w:rsidRPr="00C00F2A">
        <w:rPr>
          <w:sz w:val="22"/>
          <w:szCs w:val="22"/>
        </w:rPr>
        <w:t>ečila i</w:t>
      </w:r>
      <w:r w:rsidR="00281758" w:rsidRPr="00C00F2A">
        <w:rPr>
          <w:sz w:val="22"/>
          <w:szCs w:val="22"/>
        </w:rPr>
        <w:t>n</w:t>
      </w:r>
      <w:r w:rsidRPr="00C00F2A">
        <w:rPr>
          <w:sz w:val="22"/>
          <w:szCs w:val="22"/>
        </w:rPr>
        <w:t>s</w:t>
      </w:r>
      <w:r w:rsidR="00281758" w:rsidRPr="00C00F2A">
        <w:rPr>
          <w:sz w:val="22"/>
          <w:szCs w:val="22"/>
        </w:rPr>
        <w:t>titucionalizacija i podržale reforme i proces prelaska</w:t>
      </w:r>
      <w:r w:rsidRPr="00C00F2A">
        <w:rPr>
          <w:sz w:val="22"/>
          <w:szCs w:val="22"/>
        </w:rPr>
        <w:t xml:space="preserve"> u zajednicu</w:t>
      </w:r>
      <w:r w:rsidR="00281758" w:rsidRPr="00C00F2A">
        <w:rPr>
          <w:b/>
          <w:sz w:val="22"/>
          <w:szCs w:val="22"/>
        </w:rPr>
        <w:t>.</w:t>
      </w:r>
      <w:r w:rsidR="00497C57" w:rsidRPr="00C00F2A">
        <w:rPr>
          <w:b/>
          <w:sz w:val="22"/>
          <w:szCs w:val="22"/>
        </w:rPr>
        <w:t xml:space="preserve"> Izgradnja ili renoviranje</w:t>
      </w:r>
      <w:r w:rsidR="007E2FD2" w:rsidRPr="00C00F2A">
        <w:rPr>
          <w:b/>
          <w:sz w:val="22"/>
          <w:szCs w:val="22"/>
        </w:rPr>
        <w:t xml:space="preserve"> rezidencijalnih ustanova za dug</w:t>
      </w:r>
      <w:r w:rsidR="00497C57" w:rsidRPr="00C00F2A">
        <w:rPr>
          <w:b/>
          <w:sz w:val="22"/>
          <w:szCs w:val="22"/>
        </w:rPr>
        <w:t>otrajan boravak isključeni su iz podrške ESIF, bez obzira na njihovu veličinu.</w:t>
      </w:r>
      <w:r w:rsidR="00497C57" w:rsidRPr="00C00F2A">
        <w:rPr>
          <w:sz w:val="22"/>
          <w:szCs w:val="22"/>
        </w:rPr>
        <w:t xml:space="preserve"> Predložene m</w:t>
      </w:r>
      <w:r w:rsidR="00C66863" w:rsidRPr="00C00F2A">
        <w:rPr>
          <w:sz w:val="22"/>
          <w:szCs w:val="22"/>
        </w:rPr>
        <w:t>jere su di</w:t>
      </w:r>
      <w:r w:rsidR="00497C57" w:rsidRPr="00C00F2A">
        <w:rPr>
          <w:sz w:val="22"/>
          <w:szCs w:val="22"/>
        </w:rPr>
        <w:t>o strateške vizije o sprovođenju procesa prelaska sa insitucionalne na brigu i podršku u zajednici, u skladu sa kriterijumima obavezujućih elemenata planiranja za postizanje aktivne inkluzije (</w:t>
      </w:r>
      <w:r w:rsidR="00497C57" w:rsidRPr="00C00F2A">
        <w:rPr>
          <w:i/>
          <w:sz w:val="22"/>
          <w:szCs w:val="22"/>
        </w:rPr>
        <w:t xml:space="preserve">ex-ante </w:t>
      </w:r>
      <w:r w:rsidR="00497C57" w:rsidRPr="00C00F2A">
        <w:rPr>
          <w:sz w:val="22"/>
          <w:szCs w:val="22"/>
        </w:rPr>
        <w:t>conditionality for active inclusion).</w:t>
      </w:r>
    </w:p>
    <w:p w:rsidR="001B1439" w:rsidRPr="00C00F2A" w:rsidRDefault="0053462B" w:rsidP="00400023">
      <w:pPr>
        <w:jc w:val="both"/>
        <w:rPr>
          <w:sz w:val="22"/>
          <w:szCs w:val="22"/>
        </w:rPr>
      </w:pPr>
      <w:r w:rsidRPr="00C00F2A">
        <w:rPr>
          <w:sz w:val="22"/>
          <w:szCs w:val="22"/>
        </w:rPr>
        <w:t>Strategija za postizanje kohezije</w:t>
      </w:r>
      <w:r w:rsidRPr="00C00F2A">
        <w:rPr>
          <w:rStyle w:val="FootnoteReference"/>
          <w:sz w:val="22"/>
          <w:szCs w:val="22"/>
        </w:rPr>
        <w:footnoteReference w:id="17"/>
      </w:r>
      <w:r w:rsidRPr="00C00F2A">
        <w:rPr>
          <w:sz w:val="22"/>
          <w:szCs w:val="22"/>
        </w:rPr>
        <w:t xml:space="preserve"> za 2014 – 2020 </w:t>
      </w:r>
      <w:r w:rsidR="00064D78" w:rsidRPr="00C00F2A">
        <w:rPr>
          <w:sz w:val="22"/>
          <w:szCs w:val="22"/>
        </w:rPr>
        <w:t>pominje deinstitucionalizaciju kao eksplicitan prioritet za Evropske strukturne investicione fondove, naročito Evropski socijalni fond i Evropski fond za regionalni razvoj</w:t>
      </w:r>
      <w:r w:rsidR="001B1439" w:rsidRPr="00C00F2A">
        <w:rPr>
          <w:sz w:val="22"/>
          <w:szCs w:val="22"/>
        </w:rPr>
        <w:t xml:space="preserve">. </w:t>
      </w:r>
    </w:p>
    <w:p w:rsidR="00064D78" w:rsidRPr="00C00F2A" w:rsidRDefault="00064D78" w:rsidP="00400023">
      <w:pPr>
        <w:jc w:val="both"/>
        <w:rPr>
          <w:sz w:val="22"/>
          <w:szCs w:val="22"/>
        </w:rPr>
      </w:pPr>
      <w:r w:rsidRPr="00C00F2A">
        <w:rPr>
          <w:sz w:val="22"/>
          <w:szCs w:val="22"/>
        </w:rPr>
        <w:t>Vodič u oblasti obavezujućih elemenata u planiranju fondova</w:t>
      </w:r>
      <w:r w:rsidR="002609CC" w:rsidRPr="00C00F2A">
        <w:rPr>
          <w:sz w:val="22"/>
          <w:szCs w:val="22"/>
        </w:rPr>
        <w:t xml:space="preserve"> iz 2014. godine, u oblasti mentalnog zdravlja navodi sl</w:t>
      </w:r>
      <w:r w:rsidR="00C66863" w:rsidRPr="00C00F2A">
        <w:rPr>
          <w:sz w:val="22"/>
          <w:szCs w:val="22"/>
        </w:rPr>
        <w:t>j</w:t>
      </w:r>
      <w:r w:rsidR="002609CC" w:rsidRPr="00C00F2A">
        <w:rPr>
          <w:sz w:val="22"/>
          <w:szCs w:val="22"/>
        </w:rPr>
        <w:t>edeće aktivnosti:</w:t>
      </w:r>
      <w:r w:rsidR="002609CC" w:rsidRPr="00C00F2A">
        <w:rPr>
          <w:rStyle w:val="FootnoteReference"/>
          <w:sz w:val="22"/>
          <w:szCs w:val="22"/>
        </w:rPr>
        <w:t xml:space="preserve"> </w:t>
      </w:r>
      <w:r w:rsidR="002609CC" w:rsidRPr="00C00F2A">
        <w:rPr>
          <w:rStyle w:val="FootnoteReference"/>
          <w:sz w:val="22"/>
          <w:szCs w:val="22"/>
        </w:rPr>
        <w:footnoteReference w:id="18"/>
      </w:r>
    </w:p>
    <w:p w:rsidR="002609CC" w:rsidRPr="00C00F2A" w:rsidRDefault="002609CC" w:rsidP="00400023">
      <w:pPr>
        <w:pStyle w:val="ListParagraph"/>
        <w:numPr>
          <w:ilvl w:val="0"/>
          <w:numId w:val="23"/>
        </w:numPr>
        <w:jc w:val="both"/>
        <w:rPr>
          <w:sz w:val="22"/>
          <w:szCs w:val="22"/>
        </w:rPr>
      </w:pPr>
      <w:r w:rsidRPr="00C00F2A">
        <w:rPr>
          <w:sz w:val="22"/>
          <w:szCs w:val="22"/>
        </w:rPr>
        <w:t>Promovisati tretmane i modele brige koji se pružaju u zajednici i podstič</w:t>
      </w:r>
      <w:r w:rsidR="00D35335" w:rsidRPr="00C00F2A">
        <w:rPr>
          <w:sz w:val="22"/>
          <w:szCs w:val="22"/>
        </w:rPr>
        <w:t>u</w:t>
      </w:r>
      <w:r w:rsidRPr="00C00F2A">
        <w:rPr>
          <w:sz w:val="22"/>
          <w:szCs w:val="22"/>
        </w:rPr>
        <w:t xml:space="preserve"> socijalnu i</w:t>
      </w:r>
      <w:r w:rsidR="00D35335" w:rsidRPr="00C00F2A">
        <w:rPr>
          <w:sz w:val="22"/>
          <w:szCs w:val="22"/>
        </w:rPr>
        <w:t>nkluziju (deinstitucionalizaciju</w:t>
      </w:r>
      <w:r w:rsidRPr="00C00F2A">
        <w:rPr>
          <w:sz w:val="22"/>
          <w:szCs w:val="22"/>
        </w:rPr>
        <w:t xml:space="preserve">) i poboljšati pristup podršci osobama sa mentalnim </w:t>
      </w:r>
      <w:r w:rsidR="00167DCA" w:rsidRPr="00C00F2A">
        <w:rPr>
          <w:sz w:val="22"/>
          <w:szCs w:val="22"/>
        </w:rPr>
        <w:t>smetnjama</w:t>
      </w:r>
      <w:r w:rsidRPr="00C00F2A">
        <w:rPr>
          <w:sz w:val="22"/>
          <w:szCs w:val="22"/>
        </w:rPr>
        <w:t>.</w:t>
      </w:r>
    </w:p>
    <w:p w:rsidR="002609CC" w:rsidRPr="00C00F2A" w:rsidRDefault="002609CC" w:rsidP="00400023">
      <w:pPr>
        <w:pStyle w:val="ListParagraph"/>
        <w:numPr>
          <w:ilvl w:val="0"/>
          <w:numId w:val="23"/>
        </w:numPr>
        <w:jc w:val="both"/>
        <w:rPr>
          <w:sz w:val="22"/>
          <w:szCs w:val="22"/>
        </w:rPr>
      </w:pPr>
      <w:r w:rsidRPr="00C00F2A">
        <w:rPr>
          <w:sz w:val="22"/>
          <w:szCs w:val="22"/>
        </w:rPr>
        <w:t xml:space="preserve">Promovisati zdravstvene programe i programe rane intervencije za pripadnike grupa sa povišenom sklonošću mentalnim </w:t>
      </w:r>
      <w:r w:rsidR="007A75DC" w:rsidRPr="00C00F2A">
        <w:rPr>
          <w:sz w:val="22"/>
          <w:szCs w:val="22"/>
        </w:rPr>
        <w:t>smetnjama</w:t>
      </w:r>
      <w:r w:rsidRPr="00C00F2A">
        <w:rPr>
          <w:sz w:val="22"/>
          <w:szCs w:val="22"/>
        </w:rPr>
        <w:t xml:space="preserve"> i obezb</w:t>
      </w:r>
      <w:r w:rsidR="00415D51" w:rsidRPr="00C00F2A">
        <w:rPr>
          <w:sz w:val="22"/>
          <w:szCs w:val="22"/>
        </w:rPr>
        <w:t>ij</w:t>
      </w:r>
      <w:r w:rsidRPr="00C00F2A">
        <w:rPr>
          <w:sz w:val="22"/>
          <w:szCs w:val="22"/>
        </w:rPr>
        <w:t>editi mehanizme podrške u socijalnom/zdravstvenom sistemu u slučajevima mentalnog oboljevanja/pogoršanja i naročito nakon pokušaja samoubistva.</w:t>
      </w:r>
    </w:p>
    <w:p w:rsidR="004E09B9" w:rsidRDefault="00CA2C83" w:rsidP="00400023">
      <w:pPr>
        <w:pStyle w:val="ListParagraph"/>
        <w:numPr>
          <w:ilvl w:val="0"/>
          <w:numId w:val="23"/>
        </w:numPr>
        <w:jc w:val="both"/>
        <w:rPr>
          <w:sz w:val="22"/>
          <w:szCs w:val="22"/>
        </w:rPr>
      </w:pPr>
      <w:r w:rsidRPr="00C00F2A">
        <w:rPr>
          <w:sz w:val="22"/>
          <w:szCs w:val="22"/>
        </w:rPr>
        <w:t xml:space="preserve">Suočiti se sa diskriminacijom na osnovu mentalnog oboljenja i stigmom i promovisati socijalnu i radnu integraciju osoba sa mentalnim </w:t>
      </w:r>
      <w:r w:rsidR="00783D56" w:rsidRPr="00C00F2A">
        <w:rPr>
          <w:sz w:val="22"/>
          <w:szCs w:val="22"/>
        </w:rPr>
        <w:t>smetnjama</w:t>
      </w:r>
      <w:r w:rsidRPr="00C00F2A">
        <w:rPr>
          <w:sz w:val="22"/>
          <w:szCs w:val="22"/>
        </w:rPr>
        <w:t>.</w:t>
      </w:r>
    </w:p>
    <w:p w:rsidR="00D32E1B" w:rsidRDefault="00D32E1B" w:rsidP="00D32E1B">
      <w:pPr>
        <w:jc w:val="both"/>
        <w:rPr>
          <w:sz w:val="22"/>
          <w:szCs w:val="22"/>
        </w:rPr>
      </w:pPr>
    </w:p>
    <w:p w:rsidR="00B52F15" w:rsidRDefault="00B52F15" w:rsidP="00D32E1B">
      <w:pPr>
        <w:jc w:val="both"/>
        <w:rPr>
          <w:sz w:val="22"/>
          <w:szCs w:val="22"/>
        </w:rPr>
      </w:pPr>
    </w:p>
    <w:p w:rsidR="00B52F15" w:rsidRDefault="00B52F15" w:rsidP="00D32E1B">
      <w:pPr>
        <w:jc w:val="both"/>
        <w:rPr>
          <w:sz w:val="22"/>
          <w:szCs w:val="22"/>
        </w:rPr>
      </w:pPr>
    </w:p>
    <w:p w:rsidR="00B52F15" w:rsidRDefault="00B52F15" w:rsidP="00D32E1B">
      <w:pPr>
        <w:jc w:val="both"/>
        <w:rPr>
          <w:sz w:val="22"/>
          <w:szCs w:val="22"/>
        </w:rPr>
      </w:pPr>
    </w:p>
    <w:p w:rsidR="00D32E1B" w:rsidRDefault="00D32E1B" w:rsidP="00D32E1B">
      <w:pPr>
        <w:jc w:val="both"/>
        <w:rPr>
          <w:sz w:val="22"/>
          <w:szCs w:val="22"/>
        </w:rPr>
      </w:pPr>
    </w:p>
    <w:p w:rsidR="00D32E1B" w:rsidRDefault="00D32E1B" w:rsidP="00D32E1B">
      <w:pPr>
        <w:jc w:val="both"/>
        <w:rPr>
          <w:sz w:val="22"/>
          <w:szCs w:val="22"/>
        </w:rPr>
      </w:pPr>
    </w:p>
    <w:p w:rsidR="00D32E1B" w:rsidRDefault="00D32E1B" w:rsidP="00D32E1B">
      <w:pPr>
        <w:jc w:val="both"/>
        <w:rPr>
          <w:sz w:val="22"/>
          <w:szCs w:val="22"/>
        </w:rPr>
      </w:pPr>
    </w:p>
    <w:p w:rsidR="00D32E1B" w:rsidRPr="00D32E1B" w:rsidRDefault="00D32E1B" w:rsidP="00D32E1B">
      <w:pPr>
        <w:jc w:val="both"/>
        <w:rPr>
          <w:sz w:val="22"/>
          <w:szCs w:val="22"/>
        </w:rPr>
      </w:pPr>
    </w:p>
    <w:p w:rsidR="009B6FB5" w:rsidRPr="00C00F2A" w:rsidRDefault="009B6FB5" w:rsidP="009B6FB5">
      <w:pPr>
        <w:pStyle w:val="ListParagraph"/>
        <w:jc w:val="both"/>
        <w:rPr>
          <w:sz w:val="22"/>
          <w:szCs w:val="22"/>
        </w:rPr>
      </w:pPr>
    </w:p>
    <w:p w:rsidR="00E57D6A" w:rsidRPr="00C00F2A" w:rsidRDefault="004F19D8" w:rsidP="00E57D6A">
      <w:pPr>
        <w:pStyle w:val="Heading2"/>
      </w:pPr>
      <w:bookmarkStart w:id="17" w:name="_Toc473540825"/>
      <w:r w:rsidRPr="00C00F2A">
        <w:lastRenderedPageBreak/>
        <w:t>U</w:t>
      </w:r>
      <w:r w:rsidR="004D5C14" w:rsidRPr="00C00F2A">
        <w:t xml:space="preserve">poredni prikaz </w:t>
      </w:r>
      <w:r w:rsidR="00E57D6A" w:rsidRPr="00C00F2A">
        <w:t>procesa deinstitucionalizacij</w:t>
      </w:r>
      <w:r w:rsidR="00321E59" w:rsidRPr="00C00F2A">
        <w:t>e: prim</w:t>
      </w:r>
      <w:r w:rsidR="00415D51" w:rsidRPr="00C00F2A">
        <w:t>J</w:t>
      </w:r>
      <w:r w:rsidR="00321E59" w:rsidRPr="00C00F2A">
        <w:t>eri dobre prakse</w:t>
      </w:r>
      <w:bookmarkEnd w:id="17"/>
    </w:p>
    <w:p w:rsidR="00D32E1B" w:rsidRDefault="00D32E1B" w:rsidP="00400023">
      <w:pPr>
        <w:jc w:val="both"/>
        <w:rPr>
          <w:sz w:val="22"/>
          <w:szCs w:val="22"/>
        </w:rPr>
      </w:pPr>
    </w:p>
    <w:p w:rsidR="002C1050" w:rsidRPr="00C00F2A" w:rsidRDefault="002C1050" w:rsidP="00400023">
      <w:pPr>
        <w:jc w:val="both"/>
        <w:rPr>
          <w:sz w:val="22"/>
          <w:szCs w:val="22"/>
        </w:rPr>
      </w:pPr>
      <w:r w:rsidRPr="00C00F2A">
        <w:rPr>
          <w:sz w:val="22"/>
          <w:szCs w:val="22"/>
        </w:rPr>
        <w:t>Širom Evrope (i ostatku sv</w:t>
      </w:r>
      <w:r w:rsidR="000A415B" w:rsidRPr="00C00F2A">
        <w:rPr>
          <w:sz w:val="22"/>
          <w:szCs w:val="22"/>
        </w:rPr>
        <w:t>ij</w:t>
      </w:r>
      <w:r w:rsidRPr="00C00F2A">
        <w:rPr>
          <w:sz w:val="22"/>
          <w:szCs w:val="22"/>
        </w:rPr>
        <w:t>eta) učinjeni su brojni napori tokom proteklih decenija da se prevaziđu brojne prepreke</w:t>
      </w:r>
      <w:r w:rsidR="00FE5500" w:rsidRPr="00C00F2A">
        <w:rPr>
          <w:sz w:val="22"/>
          <w:szCs w:val="22"/>
        </w:rPr>
        <w:t>,</w:t>
      </w:r>
      <w:r w:rsidRPr="00C00F2A">
        <w:rPr>
          <w:sz w:val="22"/>
          <w:szCs w:val="22"/>
        </w:rPr>
        <w:t xml:space="preserve"> kako bi se osigurala kvalitetna dugotrajna briga o osobama sa ozbiljnim mentalnim </w:t>
      </w:r>
      <w:r w:rsidR="00783D56" w:rsidRPr="00C00F2A">
        <w:rPr>
          <w:sz w:val="22"/>
          <w:szCs w:val="22"/>
        </w:rPr>
        <w:t>smetnjama</w:t>
      </w:r>
      <w:r w:rsidRPr="00C00F2A">
        <w:rPr>
          <w:sz w:val="22"/>
          <w:szCs w:val="22"/>
        </w:rPr>
        <w:t>. Na prim</w:t>
      </w:r>
      <w:r w:rsidR="00FE5500" w:rsidRPr="00C00F2A">
        <w:rPr>
          <w:sz w:val="22"/>
          <w:szCs w:val="22"/>
        </w:rPr>
        <w:t>j</w:t>
      </w:r>
      <w:r w:rsidRPr="00C00F2A">
        <w:rPr>
          <w:sz w:val="22"/>
          <w:szCs w:val="22"/>
        </w:rPr>
        <w:t xml:space="preserve">er, sektorska psihijatrija u Francuskoj, socijalna psihijatrija i mentalno zdravlje u okviru </w:t>
      </w:r>
      <w:r w:rsidR="003D0222" w:rsidRPr="00C00F2A">
        <w:rPr>
          <w:sz w:val="22"/>
          <w:szCs w:val="22"/>
        </w:rPr>
        <w:t>p</w:t>
      </w:r>
      <w:r w:rsidRPr="00C00F2A">
        <w:rPr>
          <w:sz w:val="22"/>
          <w:szCs w:val="22"/>
        </w:rPr>
        <w:t>rimarne zdravstvene zaštite u Ujedinjenom kraljevstvu i reforma psihijatrije i deinstitucionalizacija u Italiji</w:t>
      </w:r>
      <w:r w:rsidR="00FE5500" w:rsidRPr="00C00F2A">
        <w:rPr>
          <w:sz w:val="22"/>
          <w:szCs w:val="22"/>
        </w:rPr>
        <w:t>, predstavljaju važna obi</w:t>
      </w:r>
      <w:r w:rsidRPr="00C00F2A">
        <w:rPr>
          <w:sz w:val="22"/>
          <w:szCs w:val="22"/>
        </w:rPr>
        <w:t>l</w:t>
      </w:r>
      <w:r w:rsidR="00FE5500" w:rsidRPr="00C00F2A">
        <w:rPr>
          <w:sz w:val="22"/>
          <w:szCs w:val="22"/>
        </w:rPr>
        <w:t>j</w:t>
      </w:r>
      <w:r w:rsidRPr="00C00F2A">
        <w:rPr>
          <w:sz w:val="22"/>
          <w:szCs w:val="22"/>
        </w:rPr>
        <w:t>ežja ove evolucije.</w:t>
      </w:r>
    </w:p>
    <w:p w:rsidR="00B03E39" w:rsidRPr="00C00F2A" w:rsidRDefault="002C1050" w:rsidP="00400023">
      <w:pPr>
        <w:jc w:val="both"/>
        <w:rPr>
          <w:sz w:val="22"/>
          <w:szCs w:val="22"/>
        </w:rPr>
      </w:pPr>
      <w:r w:rsidRPr="00C00F2A">
        <w:rPr>
          <w:sz w:val="22"/>
          <w:szCs w:val="22"/>
        </w:rPr>
        <w:t xml:space="preserve">Nakon ovih ranih inicijativa </w:t>
      </w:r>
      <w:r w:rsidR="00FE5500" w:rsidRPr="00C00F2A">
        <w:rPr>
          <w:sz w:val="22"/>
          <w:szCs w:val="22"/>
        </w:rPr>
        <w:t>u</w:t>
      </w:r>
      <w:r w:rsidRPr="00C00F2A">
        <w:rPr>
          <w:sz w:val="22"/>
          <w:szCs w:val="22"/>
        </w:rPr>
        <w:t>sl</w:t>
      </w:r>
      <w:r w:rsidR="00FE5500" w:rsidRPr="00C00F2A">
        <w:rPr>
          <w:sz w:val="22"/>
          <w:szCs w:val="22"/>
        </w:rPr>
        <w:t>ij</w:t>
      </w:r>
      <w:r w:rsidRPr="00C00F2A">
        <w:rPr>
          <w:sz w:val="22"/>
          <w:szCs w:val="22"/>
        </w:rPr>
        <w:t>edilo je mnoštvo različitih procesa širom Evrope</w:t>
      </w:r>
      <w:r w:rsidR="00FE5500" w:rsidRPr="00C00F2A">
        <w:rPr>
          <w:sz w:val="22"/>
          <w:szCs w:val="22"/>
        </w:rPr>
        <w:t>,</w:t>
      </w:r>
      <w:r w:rsidRPr="00C00F2A">
        <w:rPr>
          <w:sz w:val="22"/>
          <w:szCs w:val="22"/>
        </w:rPr>
        <w:t xml:space="preserve"> kojima je u mnogim državama unapr</w:t>
      </w:r>
      <w:r w:rsidR="00FE5500" w:rsidRPr="00C00F2A">
        <w:rPr>
          <w:sz w:val="22"/>
          <w:szCs w:val="22"/>
        </w:rPr>
        <w:t>ij</w:t>
      </w:r>
      <w:r w:rsidRPr="00C00F2A">
        <w:rPr>
          <w:sz w:val="22"/>
          <w:szCs w:val="22"/>
        </w:rPr>
        <w:t>eđen sistem mentalnog zdravlja. To uključuje poboljšanja u fizičkim uslovima unutar psihijatrijskih bolnica, razvoj usluga u zajednici, integraciju</w:t>
      </w:r>
      <w:r w:rsidR="00C30F94" w:rsidRPr="00C00F2A">
        <w:rPr>
          <w:sz w:val="22"/>
          <w:szCs w:val="22"/>
        </w:rPr>
        <w:t xml:space="preserve"> brige o mentalnom zdravlju u primarnu zdravstvenu zaštitu, razvoj psihosocijalne podrške (stanovanje, profesionalno osposobljavanje), zaštitu ljudskih prava osoba sa mentalnim </w:t>
      </w:r>
      <w:r w:rsidR="00AA1243" w:rsidRPr="00C00F2A">
        <w:rPr>
          <w:sz w:val="22"/>
          <w:szCs w:val="22"/>
        </w:rPr>
        <w:t>smetnjama</w:t>
      </w:r>
      <w:r w:rsidR="00C30F94" w:rsidRPr="00C00F2A">
        <w:rPr>
          <w:sz w:val="22"/>
          <w:szCs w:val="22"/>
        </w:rPr>
        <w:t xml:space="preserve"> i povećano učešće korisnika i njihovih porodica u procesima unapređivanja politike i usluga. Brojna istraživanja koja su pratila ove procese</w:t>
      </w:r>
      <w:r w:rsidR="00FE5500" w:rsidRPr="00C00F2A">
        <w:rPr>
          <w:sz w:val="22"/>
          <w:szCs w:val="22"/>
        </w:rPr>
        <w:t>,</w:t>
      </w:r>
      <w:r w:rsidR="00C30F94" w:rsidRPr="00C00F2A">
        <w:rPr>
          <w:sz w:val="22"/>
          <w:szCs w:val="22"/>
        </w:rPr>
        <w:t xml:space="preserve"> proširila su bazu dokaza kojima se treba voditi prilikom ulaganja u adekvatan sistem zaštite mentalnog zdravlja.</w:t>
      </w:r>
    </w:p>
    <w:p w:rsidR="00D32E1B" w:rsidRDefault="000B535A" w:rsidP="00D32E1B">
      <w:pPr>
        <w:jc w:val="both"/>
        <w:rPr>
          <w:sz w:val="22"/>
          <w:szCs w:val="22"/>
        </w:rPr>
      </w:pPr>
      <w:r w:rsidRPr="00C00F2A">
        <w:rPr>
          <w:sz w:val="22"/>
          <w:szCs w:val="22"/>
        </w:rPr>
        <w:t>U poglavlju koje sl</w:t>
      </w:r>
      <w:r w:rsidR="00FE5500" w:rsidRPr="00C00F2A">
        <w:rPr>
          <w:sz w:val="22"/>
          <w:szCs w:val="22"/>
        </w:rPr>
        <w:t>ij</w:t>
      </w:r>
      <w:r w:rsidRPr="00C00F2A">
        <w:rPr>
          <w:sz w:val="22"/>
          <w:szCs w:val="22"/>
        </w:rPr>
        <w:t>edi pokušaćemo da predstavimo neke prim</w:t>
      </w:r>
      <w:r w:rsidR="00FE5500" w:rsidRPr="00C00F2A">
        <w:rPr>
          <w:sz w:val="22"/>
          <w:szCs w:val="22"/>
        </w:rPr>
        <w:t>j</w:t>
      </w:r>
      <w:r w:rsidRPr="00C00F2A">
        <w:rPr>
          <w:sz w:val="22"/>
          <w:szCs w:val="22"/>
        </w:rPr>
        <w:t xml:space="preserve">ere reformi </w:t>
      </w:r>
      <w:r w:rsidR="00623C0B">
        <w:rPr>
          <w:sz w:val="22"/>
          <w:szCs w:val="22"/>
        </w:rPr>
        <w:t xml:space="preserve">zdravstvenih </w:t>
      </w:r>
      <w:r w:rsidR="00976562">
        <w:rPr>
          <w:sz w:val="22"/>
          <w:szCs w:val="22"/>
        </w:rPr>
        <w:t xml:space="preserve">sistema </w:t>
      </w:r>
      <w:r w:rsidR="00623C0B">
        <w:rPr>
          <w:sz w:val="22"/>
          <w:szCs w:val="22"/>
        </w:rPr>
        <w:t xml:space="preserve">u odnosu na </w:t>
      </w:r>
      <w:r w:rsidRPr="00C00F2A">
        <w:rPr>
          <w:sz w:val="22"/>
          <w:szCs w:val="22"/>
        </w:rPr>
        <w:t>mentalno zdravlj</w:t>
      </w:r>
      <w:r w:rsidR="00623C0B">
        <w:rPr>
          <w:sz w:val="22"/>
          <w:szCs w:val="22"/>
        </w:rPr>
        <w:t>e</w:t>
      </w:r>
      <w:r w:rsidR="00FE5500" w:rsidRPr="00C00F2A">
        <w:rPr>
          <w:sz w:val="22"/>
          <w:szCs w:val="22"/>
        </w:rPr>
        <w:t>,</w:t>
      </w:r>
      <w:r w:rsidRPr="00C00F2A">
        <w:rPr>
          <w:sz w:val="22"/>
          <w:szCs w:val="22"/>
        </w:rPr>
        <w:t xml:space="preserve"> fokusirane na deinstitucionalizaciju. Detaljna analiza procesa deinstitucionalizacije na međunarodnom planu, sa svim usp</w:t>
      </w:r>
      <w:r w:rsidR="004A0111" w:rsidRPr="00C00F2A">
        <w:rPr>
          <w:sz w:val="22"/>
          <w:szCs w:val="22"/>
        </w:rPr>
        <w:t>j</w:t>
      </w:r>
      <w:r w:rsidRPr="00C00F2A">
        <w:rPr>
          <w:sz w:val="22"/>
          <w:szCs w:val="22"/>
        </w:rPr>
        <w:t xml:space="preserve">esima i izazovima, prevazilazi opseg ovog dokumenta. </w:t>
      </w:r>
      <w:r w:rsidRPr="00623C0B">
        <w:rPr>
          <w:b/>
          <w:sz w:val="22"/>
          <w:szCs w:val="22"/>
        </w:rPr>
        <w:t xml:space="preserve">Naš </w:t>
      </w:r>
      <w:r w:rsidR="002C1050" w:rsidRPr="00623C0B">
        <w:rPr>
          <w:b/>
          <w:sz w:val="22"/>
          <w:szCs w:val="22"/>
        </w:rPr>
        <w:t xml:space="preserve">trenutni </w:t>
      </w:r>
      <w:r w:rsidRPr="00623C0B">
        <w:rPr>
          <w:b/>
          <w:sz w:val="22"/>
          <w:szCs w:val="22"/>
        </w:rPr>
        <w:t>cilj jeste da pokažemo da proces deinstitucionalizacije nije samo zasnovan na princi</w:t>
      </w:r>
      <w:r w:rsidR="00F22437" w:rsidRPr="00623C0B">
        <w:rPr>
          <w:b/>
          <w:sz w:val="22"/>
          <w:szCs w:val="22"/>
        </w:rPr>
        <w:t>pi</w:t>
      </w:r>
      <w:r w:rsidRPr="00623C0B">
        <w:rPr>
          <w:b/>
          <w:sz w:val="22"/>
          <w:szCs w:val="22"/>
        </w:rPr>
        <w:t>ma i obavezujućim standardima ljudskih prava</w:t>
      </w:r>
      <w:r w:rsidR="00F22437" w:rsidRPr="00623C0B">
        <w:rPr>
          <w:b/>
          <w:sz w:val="22"/>
          <w:szCs w:val="22"/>
        </w:rPr>
        <w:t>,</w:t>
      </w:r>
      <w:r w:rsidRPr="00623C0B">
        <w:rPr>
          <w:b/>
          <w:sz w:val="22"/>
          <w:szCs w:val="22"/>
        </w:rPr>
        <w:t xml:space="preserve"> već da ima široko utemeljenje u iskustvima iz drugih zemalja</w:t>
      </w:r>
      <w:r w:rsidRPr="00C00F2A">
        <w:rPr>
          <w:sz w:val="22"/>
          <w:szCs w:val="22"/>
        </w:rPr>
        <w:t>.</w:t>
      </w:r>
    </w:p>
    <w:p w:rsidR="00D32E1B" w:rsidRPr="00C00F2A" w:rsidRDefault="00D32E1B" w:rsidP="00D32E1B">
      <w:pPr>
        <w:jc w:val="both"/>
        <w:rPr>
          <w:sz w:val="22"/>
          <w:szCs w:val="22"/>
        </w:rPr>
        <w:sectPr w:rsidR="00D32E1B" w:rsidRPr="00C00F2A" w:rsidSect="00E00D1D">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rsidR="00F66A70" w:rsidRPr="00C00F2A" w:rsidRDefault="004F19D8" w:rsidP="0088188D">
      <w:pPr>
        <w:pStyle w:val="Heading5"/>
      </w:pPr>
      <w:r w:rsidRPr="00C00F2A">
        <w:lastRenderedPageBreak/>
        <w:t>I</w:t>
      </w:r>
      <w:r w:rsidR="00403CFF" w:rsidRPr="00C00F2A">
        <w:t>talija</w:t>
      </w:r>
    </w:p>
    <w:p w:rsidR="00676E5D" w:rsidRPr="00C00F2A" w:rsidRDefault="00D32E1B" w:rsidP="00964CB6">
      <w:pPr>
        <w:jc w:val="both"/>
        <w:rPr>
          <w:sz w:val="22"/>
          <w:szCs w:val="22"/>
        </w:rPr>
      </w:pPr>
      <w:r w:rsidRPr="00C00F2A">
        <w:rPr>
          <w:noProof/>
          <w:sz w:val="22"/>
          <w:szCs w:val="22"/>
          <w:lang w:val="en-US"/>
        </w:rPr>
        <mc:AlternateContent>
          <mc:Choice Requires="wps">
            <w:drawing>
              <wp:anchor distT="0" distB="0" distL="114300" distR="114300" simplePos="0" relativeHeight="251661312" behindDoc="0" locked="0" layoutInCell="1" allowOverlap="1" wp14:anchorId="652DCFC6" wp14:editId="2988C941">
                <wp:simplePos x="0" y="0"/>
                <wp:positionH relativeFrom="column">
                  <wp:posOffset>60325</wp:posOffset>
                </wp:positionH>
                <wp:positionV relativeFrom="page">
                  <wp:posOffset>2587625</wp:posOffset>
                </wp:positionV>
                <wp:extent cx="5878195" cy="2700020"/>
                <wp:effectExtent l="0" t="0" r="27305" b="24130"/>
                <wp:wrapTopAndBottom/>
                <wp:docPr id="3" name="Rounded Rectangle 3"/>
                <wp:cNvGraphicFramePr/>
                <a:graphic xmlns:a="http://schemas.openxmlformats.org/drawingml/2006/main">
                  <a:graphicData uri="http://schemas.microsoft.com/office/word/2010/wordprocessingShape">
                    <wps:wsp>
                      <wps:cNvSpPr/>
                      <wps:spPr>
                        <a:xfrm>
                          <a:off x="0" y="0"/>
                          <a:ext cx="5878195" cy="270002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F67406" w:rsidRPr="00D32E1B" w:rsidRDefault="00F67406" w:rsidP="00964CB6">
                            <w:pPr>
                              <w:pStyle w:val="ListParagraph"/>
                              <w:jc w:val="both"/>
                              <w:rPr>
                                <w:b/>
                                <w:sz w:val="22"/>
                              </w:rPr>
                            </w:pPr>
                            <w:r w:rsidRPr="00D32E1B">
                              <w:rPr>
                                <w:b/>
                                <w:sz w:val="22"/>
                              </w:rPr>
                              <w:t>Ključne odredbe „Zakona 180“ koje su unijele suštinske promjene:</w:t>
                            </w:r>
                          </w:p>
                          <w:p w:rsidR="00F67406" w:rsidRPr="00D32E1B" w:rsidRDefault="00F67406" w:rsidP="00964CB6">
                            <w:pPr>
                              <w:pStyle w:val="ListParagraph"/>
                              <w:jc w:val="both"/>
                              <w:rPr>
                                <w:b/>
                                <w:sz w:val="14"/>
                                <w:szCs w:val="16"/>
                              </w:rPr>
                            </w:pPr>
                          </w:p>
                          <w:p w:rsidR="00F67406" w:rsidRPr="00D32E1B" w:rsidRDefault="00F67406" w:rsidP="00964CB6">
                            <w:pPr>
                              <w:pStyle w:val="ListParagraph"/>
                              <w:numPr>
                                <w:ilvl w:val="0"/>
                                <w:numId w:val="12"/>
                              </w:numPr>
                              <w:jc w:val="both"/>
                              <w:rPr>
                                <w:b/>
                                <w:sz w:val="22"/>
                              </w:rPr>
                            </w:pPr>
                            <w:r w:rsidRPr="00D32E1B">
                              <w:rPr>
                                <w:b/>
                                <w:sz w:val="22"/>
                              </w:rPr>
                              <w:t>Zabrana prijema novih pacijenata u postojeće psihijatrijske bolnice</w:t>
                            </w:r>
                          </w:p>
                          <w:p w:rsidR="00F67406" w:rsidRPr="00D32E1B" w:rsidRDefault="00F67406" w:rsidP="00964CB6">
                            <w:pPr>
                              <w:pStyle w:val="ListParagraph"/>
                              <w:numPr>
                                <w:ilvl w:val="0"/>
                                <w:numId w:val="12"/>
                              </w:numPr>
                              <w:jc w:val="both"/>
                              <w:rPr>
                                <w:b/>
                                <w:sz w:val="22"/>
                              </w:rPr>
                            </w:pPr>
                            <w:r w:rsidRPr="00D32E1B">
                              <w:rPr>
                                <w:b/>
                                <w:sz w:val="22"/>
                              </w:rPr>
                              <w:t>Zabrana izgradnje novih psihijatrijskih bolnica</w:t>
                            </w:r>
                          </w:p>
                          <w:p w:rsidR="00F67406" w:rsidRPr="00D32E1B" w:rsidRDefault="00F67406" w:rsidP="00964CB6">
                            <w:pPr>
                              <w:pStyle w:val="ListParagraph"/>
                              <w:numPr>
                                <w:ilvl w:val="0"/>
                                <w:numId w:val="12"/>
                              </w:numPr>
                              <w:jc w:val="both"/>
                              <w:rPr>
                                <w:b/>
                                <w:sz w:val="22"/>
                              </w:rPr>
                            </w:pPr>
                            <w:r w:rsidRPr="00D32E1B">
                              <w:rPr>
                                <w:b/>
                                <w:sz w:val="22"/>
                              </w:rPr>
                              <w:t>Otvaranje odjeljenja za psihijatriju u opštim bolnicama sa maksimalnim kapacitetom od 15 kreveta</w:t>
                            </w:r>
                          </w:p>
                          <w:p w:rsidR="00F67406" w:rsidRPr="00D32E1B" w:rsidRDefault="00F67406" w:rsidP="00964CB6">
                            <w:pPr>
                              <w:pStyle w:val="ListParagraph"/>
                              <w:numPr>
                                <w:ilvl w:val="0"/>
                                <w:numId w:val="12"/>
                              </w:numPr>
                              <w:jc w:val="both"/>
                              <w:rPr>
                                <w:b/>
                                <w:sz w:val="22"/>
                              </w:rPr>
                            </w:pPr>
                            <w:r w:rsidRPr="00D32E1B">
                              <w:rPr>
                                <w:b/>
                                <w:sz w:val="22"/>
                              </w:rPr>
                              <w:t>Centri za mentalno zdravlje u zajednici pružaju ambulantno psihijatrijsko liječenje na osnovu geografske podjele</w:t>
                            </w:r>
                          </w:p>
                          <w:p w:rsidR="00F67406" w:rsidRPr="00D32E1B" w:rsidRDefault="00F67406" w:rsidP="00964CB6">
                            <w:pPr>
                              <w:pStyle w:val="ListParagraph"/>
                              <w:numPr>
                                <w:ilvl w:val="0"/>
                                <w:numId w:val="12"/>
                              </w:numPr>
                              <w:jc w:val="both"/>
                              <w:rPr>
                                <w:b/>
                                <w:sz w:val="22"/>
                              </w:rPr>
                            </w:pPr>
                            <w:r w:rsidRPr="00D32E1B">
                              <w:rPr>
                                <w:b/>
                                <w:sz w:val="22"/>
                              </w:rPr>
                              <w:t>Prinudno liječenje moguće je primijeniti samo u izuzetnim okolnostima, kada nije moguće pristupiti odgovarajućim službama u zajednici, a kada sam pacijent ne prihvata liječenje van bolničkih uslova</w:t>
                            </w:r>
                          </w:p>
                          <w:p w:rsidR="00F67406" w:rsidRPr="009B6FB5" w:rsidRDefault="00F67406" w:rsidP="00A63F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0" style="position:absolute;left:0;text-align:left;margin-left:4.75pt;margin-top:203.75pt;width:462.85pt;height:2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" fillcolor="white [3201]" strokecolor="#4f81bd [3204]" strokeweight="2pt">
                <v:textbox>
                  <w:txbxContent>
                    <w:p w:rsidR="009B6FB5" w:rsidRPr="00D32E1B" w:rsidRDefault="009B6FB5" w:rsidP="00964CB6">
                      <w:pPr>
                        <w:pStyle w:val="ListParagraph"/>
                        <w:jc w:val="both"/>
                        <w:rPr>
                          <w:b/>
                          <w:sz w:val="22"/>
                        </w:rPr>
                      </w:pPr>
                      <w:r w:rsidRPr="00D32E1B">
                        <w:rPr>
                          <w:b/>
                          <w:sz w:val="22"/>
                        </w:rPr>
                        <w:t>Ključne odredbe „Zakona 180“ koje su un</w:t>
                      </w:r>
                      <w:r w:rsidRPr="00D32E1B">
                        <w:rPr>
                          <w:b/>
                          <w:sz w:val="22"/>
                          <w:lang w:val="sr-Latn-ME"/>
                        </w:rPr>
                        <w:t>ij</w:t>
                      </w:r>
                      <w:r w:rsidRPr="00D32E1B">
                        <w:rPr>
                          <w:b/>
                          <w:sz w:val="22"/>
                        </w:rPr>
                        <w:t>ele suštinske prom</w:t>
                      </w:r>
                      <w:r w:rsidRPr="00D32E1B">
                        <w:rPr>
                          <w:b/>
                          <w:sz w:val="22"/>
                          <w:lang w:val="sr-Latn-ME"/>
                        </w:rPr>
                        <w:t>j</w:t>
                      </w:r>
                      <w:r w:rsidRPr="00D32E1B">
                        <w:rPr>
                          <w:b/>
                          <w:sz w:val="22"/>
                        </w:rPr>
                        <w:t>ene:</w:t>
                      </w:r>
                    </w:p>
                    <w:p w:rsidR="009B6FB5" w:rsidRPr="00D32E1B" w:rsidRDefault="009B6FB5" w:rsidP="00964CB6">
                      <w:pPr>
                        <w:pStyle w:val="ListParagraph"/>
                        <w:jc w:val="both"/>
                        <w:rPr>
                          <w:b/>
                          <w:sz w:val="14"/>
                          <w:szCs w:val="16"/>
                        </w:rPr>
                      </w:pPr>
                    </w:p>
                    <w:p w:rsidR="009B6FB5" w:rsidRPr="00D32E1B" w:rsidRDefault="009B6FB5" w:rsidP="00964CB6">
                      <w:pPr>
                        <w:pStyle w:val="ListParagraph"/>
                        <w:numPr>
                          <w:ilvl w:val="0"/>
                          <w:numId w:val="12"/>
                        </w:numPr>
                        <w:jc w:val="both"/>
                        <w:rPr>
                          <w:b/>
                          <w:sz w:val="22"/>
                        </w:rPr>
                      </w:pPr>
                      <w:r w:rsidRPr="00D32E1B">
                        <w:rPr>
                          <w:b/>
                          <w:sz w:val="22"/>
                        </w:rPr>
                        <w:t>Zabrana prijema novih pacijenata u postojeće psihijatrijske bolnice</w:t>
                      </w:r>
                    </w:p>
                    <w:p w:rsidR="009B6FB5" w:rsidRPr="00D32E1B" w:rsidRDefault="009B6FB5" w:rsidP="00964CB6">
                      <w:pPr>
                        <w:pStyle w:val="ListParagraph"/>
                        <w:numPr>
                          <w:ilvl w:val="0"/>
                          <w:numId w:val="12"/>
                        </w:numPr>
                        <w:jc w:val="both"/>
                        <w:rPr>
                          <w:b/>
                          <w:sz w:val="22"/>
                        </w:rPr>
                      </w:pPr>
                      <w:r w:rsidRPr="00D32E1B">
                        <w:rPr>
                          <w:b/>
                          <w:sz w:val="22"/>
                        </w:rPr>
                        <w:t>Zabrana izgradnje novih psihijatrijskih bolnica</w:t>
                      </w:r>
                    </w:p>
                    <w:p w:rsidR="009B6FB5" w:rsidRPr="00D32E1B" w:rsidRDefault="009B6FB5" w:rsidP="00964CB6">
                      <w:pPr>
                        <w:pStyle w:val="ListParagraph"/>
                        <w:numPr>
                          <w:ilvl w:val="0"/>
                          <w:numId w:val="12"/>
                        </w:numPr>
                        <w:jc w:val="both"/>
                        <w:rPr>
                          <w:b/>
                          <w:sz w:val="22"/>
                        </w:rPr>
                      </w:pPr>
                      <w:r w:rsidRPr="00D32E1B">
                        <w:rPr>
                          <w:b/>
                          <w:sz w:val="22"/>
                        </w:rPr>
                        <w:t>Otvaranje od</w:t>
                      </w:r>
                      <w:r w:rsidRPr="00D32E1B">
                        <w:rPr>
                          <w:b/>
                          <w:sz w:val="22"/>
                          <w:lang w:val="sr-Latn-ME"/>
                        </w:rPr>
                        <w:t>j</w:t>
                      </w:r>
                      <w:r w:rsidRPr="00D32E1B">
                        <w:rPr>
                          <w:b/>
                          <w:sz w:val="22"/>
                        </w:rPr>
                        <w:t>eljenja za psihijatriju u opštim bolnicama sa maksimalnim kapacitetom od 15 kreveta</w:t>
                      </w:r>
                    </w:p>
                    <w:p w:rsidR="009B6FB5" w:rsidRPr="00D32E1B" w:rsidRDefault="009B6FB5" w:rsidP="00964CB6">
                      <w:pPr>
                        <w:pStyle w:val="ListParagraph"/>
                        <w:numPr>
                          <w:ilvl w:val="0"/>
                          <w:numId w:val="12"/>
                        </w:numPr>
                        <w:jc w:val="both"/>
                        <w:rPr>
                          <w:b/>
                          <w:sz w:val="22"/>
                        </w:rPr>
                      </w:pPr>
                      <w:r w:rsidRPr="00D32E1B">
                        <w:rPr>
                          <w:b/>
                          <w:sz w:val="22"/>
                        </w:rPr>
                        <w:t>Centri za mentalno zdravlje u zajednici pružaju ambulantno psihijatrijsko l</w:t>
                      </w:r>
                      <w:r w:rsidRPr="00D32E1B">
                        <w:rPr>
                          <w:b/>
                          <w:sz w:val="22"/>
                          <w:lang w:val="sr-Latn-ME"/>
                        </w:rPr>
                        <w:t>ij</w:t>
                      </w:r>
                      <w:r w:rsidRPr="00D32E1B">
                        <w:rPr>
                          <w:b/>
                          <w:sz w:val="22"/>
                        </w:rPr>
                        <w:t>ečenje na osnovu geografske pod</w:t>
                      </w:r>
                      <w:r w:rsidRPr="00D32E1B">
                        <w:rPr>
                          <w:b/>
                          <w:sz w:val="22"/>
                          <w:lang w:val="sr-Latn-ME"/>
                        </w:rPr>
                        <w:t>j</w:t>
                      </w:r>
                      <w:r w:rsidRPr="00D32E1B">
                        <w:rPr>
                          <w:b/>
                          <w:sz w:val="22"/>
                        </w:rPr>
                        <w:t>ele</w:t>
                      </w:r>
                    </w:p>
                    <w:p w:rsidR="009B6FB5" w:rsidRPr="00D32E1B" w:rsidRDefault="009B6FB5" w:rsidP="00964CB6">
                      <w:pPr>
                        <w:pStyle w:val="ListParagraph"/>
                        <w:numPr>
                          <w:ilvl w:val="0"/>
                          <w:numId w:val="12"/>
                        </w:numPr>
                        <w:jc w:val="both"/>
                        <w:rPr>
                          <w:b/>
                          <w:sz w:val="22"/>
                        </w:rPr>
                      </w:pPr>
                      <w:r w:rsidRPr="00D32E1B">
                        <w:rPr>
                          <w:b/>
                          <w:sz w:val="22"/>
                        </w:rPr>
                        <w:t>Prinudno l</w:t>
                      </w:r>
                      <w:r w:rsidRPr="00D32E1B">
                        <w:rPr>
                          <w:b/>
                          <w:sz w:val="22"/>
                          <w:lang w:val="sr-Latn-ME"/>
                        </w:rPr>
                        <w:t>ij</w:t>
                      </w:r>
                      <w:r w:rsidRPr="00D32E1B">
                        <w:rPr>
                          <w:b/>
                          <w:sz w:val="22"/>
                        </w:rPr>
                        <w:t>ečenje moguće je prim</w:t>
                      </w:r>
                      <w:r w:rsidRPr="00D32E1B">
                        <w:rPr>
                          <w:b/>
                          <w:sz w:val="22"/>
                          <w:lang w:val="sr-Latn-ME"/>
                        </w:rPr>
                        <w:t>ij</w:t>
                      </w:r>
                      <w:r w:rsidRPr="00D32E1B">
                        <w:rPr>
                          <w:b/>
                          <w:sz w:val="22"/>
                        </w:rPr>
                        <w:t>eniti samo u izuzetnim okolnostima</w:t>
                      </w:r>
                      <w:r w:rsidRPr="00D32E1B">
                        <w:rPr>
                          <w:b/>
                          <w:sz w:val="22"/>
                          <w:lang w:val="sr-Latn-ME"/>
                        </w:rPr>
                        <w:t>,</w:t>
                      </w:r>
                      <w:r w:rsidRPr="00D32E1B">
                        <w:rPr>
                          <w:b/>
                          <w:sz w:val="22"/>
                        </w:rPr>
                        <w:t xml:space="preserve"> kada nije moguće pristupiti odgovarajućim službama u zajednici, a kada sam pacijent ne prihvata l</w:t>
                      </w:r>
                      <w:r w:rsidRPr="00D32E1B">
                        <w:rPr>
                          <w:b/>
                          <w:sz w:val="22"/>
                          <w:lang w:val="sr-Latn-ME"/>
                        </w:rPr>
                        <w:t>ij</w:t>
                      </w:r>
                      <w:r w:rsidRPr="00D32E1B">
                        <w:rPr>
                          <w:b/>
                          <w:sz w:val="22"/>
                        </w:rPr>
                        <w:t>ečenje van bolničkih uslova</w:t>
                      </w:r>
                    </w:p>
                    <w:p w:rsidR="009B6FB5" w:rsidRPr="009B6FB5" w:rsidRDefault="009B6FB5" w:rsidP="00A63F98">
                      <w:pPr>
                        <w:jc w:val="center"/>
                      </w:pPr>
                    </w:p>
                  </w:txbxContent>
                </v:textbox>
                <w10:wrap type="topAndBottom" anchory="page"/>
              </v:roundrect>
            </w:pict>
          </mc:Fallback>
        </mc:AlternateContent>
      </w:r>
      <w:r w:rsidR="003C4432" w:rsidRPr="00C00F2A">
        <w:rPr>
          <w:sz w:val="22"/>
          <w:szCs w:val="22"/>
        </w:rPr>
        <w:t>Italija je jedna od prvih zemalja koja je počela sa procesom deinstitucionalizacije u psihijatriji i razvojem sistema mentalnog zdravlja u zajednici. Psihijatrijsko l</w:t>
      </w:r>
      <w:r w:rsidR="00F22437" w:rsidRPr="00C00F2A">
        <w:rPr>
          <w:sz w:val="22"/>
          <w:szCs w:val="22"/>
        </w:rPr>
        <w:t>ij</w:t>
      </w:r>
      <w:r w:rsidR="003C4432" w:rsidRPr="00C00F2A">
        <w:rPr>
          <w:sz w:val="22"/>
          <w:szCs w:val="22"/>
        </w:rPr>
        <w:t>ečenje i podrška trebalo je da se izm</w:t>
      </w:r>
      <w:r w:rsidR="00F22437" w:rsidRPr="00C00F2A">
        <w:rPr>
          <w:sz w:val="22"/>
          <w:szCs w:val="22"/>
        </w:rPr>
        <w:t>j</w:t>
      </w:r>
      <w:r w:rsidR="003C4432" w:rsidRPr="00C00F2A">
        <w:rPr>
          <w:sz w:val="22"/>
          <w:szCs w:val="22"/>
        </w:rPr>
        <w:t xml:space="preserve">esti iz psihijatrijskih bolnica i prenese na </w:t>
      </w:r>
      <w:r w:rsidR="003C4432" w:rsidRPr="00C00F2A">
        <w:rPr>
          <w:b/>
          <w:sz w:val="22"/>
          <w:szCs w:val="22"/>
        </w:rPr>
        <w:t>centre za mentalno zdravlje u zajednici</w:t>
      </w:r>
      <w:r w:rsidR="00F22437" w:rsidRPr="00C00F2A">
        <w:rPr>
          <w:b/>
          <w:sz w:val="22"/>
          <w:szCs w:val="22"/>
        </w:rPr>
        <w:t>,</w:t>
      </w:r>
      <w:r w:rsidR="000C2141" w:rsidRPr="00C00F2A">
        <w:rPr>
          <w:sz w:val="22"/>
          <w:szCs w:val="22"/>
        </w:rPr>
        <w:t xml:space="preserve"> </w:t>
      </w:r>
      <w:r w:rsidR="003C4432" w:rsidRPr="00C00F2A">
        <w:rPr>
          <w:sz w:val="22"/>
          <w:szCs w:val="22"/>
        </w:rPr>
        <w:t xml:space="preserve">kako bi se osigurala integracija i povezanost sa drugim servisima i resursima u zajednici. </w:t>
      </w:r>
      <w:r w:rsidR="000C2141" w:rsidRPr="00C00F2A">
        <w:rPr>
          <w:sz w:val="22"/>
          <w:szCs w:val="22"/>
        </w:rPr>
        <w:t>Ovakva prom</w:t>
      </w:r>
      <w:r w:rsidR="00F22437" w:rsidRPr="00C00F2A">
        <w:rPr>
          <w:sz w:val="22"/>
          <w:szCs w:val="22"/>
        </w:rPr>
        <w:t>j</w:t>
      </w:r>
      <w:r w:rsidR="000C2141" w:rsidRPr="00C00F2A">
        <w:rPr>
          <w:sz w:val="22"/>
          <w:szCs w:val="22"/>
        </w:rPr>
        <w:t>ena dovela je</w:t>
      </w:r>
      <w:r w:rsidR="003C4432" w:rsidRPr="00C00F2A">
        <w:rPr>
          <w:sz w:val="22"/>
          <w:szCs w:val="22"/>
        </w:rPr>
        <w:t xml:space="preserve"> do</w:t>
      </w:r>
      <w:r w:rsidR="007D6173" w:rsidRPr="00C00F2A">
        <w:rPr>
          <w:sz w:val="22"/>
          <w:szCs w:val="22"/>
        </w:rPr>
        <w:t xml:space="preserve"> prom</w:t>
      </w:r>
      <w:r w:rsidR="00F22437" w:rsidRPr="00C00F2A">
        <w:rPr>
          <w:sz w:val="22"/>
          <w:szCs w:val="22"/>
        </w:rPr>
        <w:t>j</w:t>
      </w:r>
      <w:r w:rsidR="007D6173" w:rsidRPr="00C00F2A">
        <w:rPr>
          <w:sz w:val="22"/>
          <w:szCs w:val="22"/>
        </w:rPr>
        <w:t>ene uloga porodičnih l</w:t>
      </w:r>
      <w:r w:rsidR="00F22437" w:rsidRPr="00C00F2A">
        <w:rPr>
          <w:sz w:val="22"/>
          <w:szCs w:val="22"/>
        </w:rPr>
        <w:t>j</w:t>
      </w:r>
      <w:r w:rsidR="007D6173" w:rsidRPr="00C00F2A">
        <w:rPr>
          <w:sz w:val="22"/>
          <w:szCs w:val="22"/>
        </w:rPr>
        <w:t>ekara</w:t>
      </w:r>
      <w:r w:rsidR="00F22437" w:rsidRPr="00C00F2A">
        <w:rPr>
          <w:sz w:val="22"/>
          <w:szCs w:val="22"/>
        </w:rPr>
        <w:t>,</w:t>
      </w:r>
      <w:r w:rsidR="007D6173" w:rsidRPr="00C00F2A">
        <w:rPr>
          <w:sz w:val="22"/>
          <w:szCs w:val="22"/>
        </w:rPr>
        <w:t xml:space="preserve"> po pitanju brige o psihijatrijskim pacijentima.</w:t>
      </w:r>
    </w:p>
    <w:p w:rsidR="00A241EF" w:rsidRPr="00C00F2A" w:rsidRDefault="00A241EF" w:rsidP="00F30B68">
      <w:pPr>
        <w:rPr>
          <w:sz w:val="22"/>
          <w:szCs w:val="22"/>
        </w:rPr>
      </w:pPr>
    </w:p>
    <w:p w:rsidR="00A63F98" w:rsidRPr="00C00F2A" w:rsidRDefault="009C7E50" w:rsidP="00964CB6">
      <w:pPr>
        <w:jc w:val="both"/>
        <w:rPr>
          <w:sz w:val="22"/>
          <w:szCs w:val="22"/>
        </w:rPr>
      </w:pPr>
      <w:r w:rsidRPr="00C00F2A">
        <w:rPr>
          <w:sz w:val="22"/>
          <w:szCs w:val="22"/>
        </w:rPr>
        <w:t>Značajne prom</w:t>
      </w:r>
      <w:r w:rsidR="00622906" w:rsidRPr="00C00F2A">
        <w:rPr>
          <w:sz w:val="22"/>
          <w:szCs w:val="22"/>
        </w:rPr>
        <w:t>j</w:t>
      </w:r>
      <w:r w:rsidRPr="00C00F2A">
        <w:rPr>
          <w:sz w:val="22"/>
          <w:szCs w:val="22"/>
        </w:rPr>
        <w:t>ene započele su usvajanjem „Zakona 180</w:t>
      </w:r>
      <w:r w:rsidR="00803654" w:rsidRPr="00C00F2A">
        <w:rPr>
          <w:sz w:val="22"/>
          <w:szCs w:val="22"/>
        </w:rPr>
        <w:t>“ 1978. godine. Zakon je predviđ</w:t>
      </w:r>
      <w:r w:rsidRPr="00C00F2A">
        <w:rPr>
          <w:sz w:val="22"/>
          <w:szCs w:val="22"/>
        </w:rPr>
        <w:t xml:space="preserve">ao uspostavljanje sveobuhvatnog i integrisanog sistema brige o mentalnom zdravlju, koji je trebalo da bude prilagođen i implementiran na regionalnom nivou, </w:t>
      </w:r>
      <w:r w:rsidR="00A241EF" w:rsidRPr="00C00F2A">
        <w:rPr>
          <w:sz w:val="22"/>
          <w:szCs w:val="22"/>
        </w:rPr>
        <w:t>pokri</w:t>
      </w:r>
      <w:r w:rsidRPr="00C00F2A">
        <w:rPr>
          <w:sz w:val="22"/>
          <w:szCs w:val="22"/>
        </w:rPr>
        <w:t xml:space="preserve">vajući određeni procenat stanovništva. </w:t>
      </w:r>
    </w:p>
    <w:p w:rsidR="00BC4C71" w:rsidRPr="00C00F2A" w:rsidRDefault="00622906" w:rsidP="00964CB6">
      <w:pPr>
        <w:jc w:val="both"/>
        <w:rPr>
          <w:sz w:val="22"/>
          <w:szCs w:val="22"/>
        </w:rPr>
      </w:pPr>
      <w:r w:rsidRPr="00C00F2A">
        <w:rPr>
          <w:sz w:val="22"/>
          <w:szCs w:val="22"/>
        </w:rPr>
        <w:t>Reforma u Trstu, kao glavno obi</w:t>
      </w:r>
      <w:r w:rsidR="002E2DDB" w:rsidRPr="00C00F2A">
        <w:rPr>
          <w:sz w:val="22"/>
          <w:szCs w:val="22"/>
        </w:rPr>
        <w:t>l</w:t>
      </w:r>
      <w:r w:rsidRPr="00C00F2A">
        <w:rPr>
          <w:sz w:val="22"/>
          <w:szCs w:val="22"/>
        </w:rPr>
        <w:t>j</w:t>
      </w:r>
      <w:r w:rsidR="002E2DDB" w:rsidRPr="00C00F2A">
        <w:rPr>
          <w:sz w:val="22"/>
          <w:szCs w:val="22"/>
        </w:rPr>
        <w:t>ežje italijanske reforme, dovela je do zatvaranja psihijatrijske bolnice i razvoja mreže usluga u zajednici koje je organizovao sektor zdravstva</w:t>
      </w:r>
      <w:r w:rsidR="00104529" w:rsidRPr="00C00F2A">
        <w:rPr>
          <w:sz w:val="22"/>
          <w:szCs w:val="22"/>
        </w:rPr>
        <w:t>,</w:t>
      </w:r>
      <w:r w:rsidR="002E2DDB" w:rsidRPr="00C00F2A">
        <w:rPr>
          <w:sz w:val="22"/>
          <w:szCs w:val="22"/>
        </w:rPr>
        <w:t xml:space="preserve"> tako da se zadovolje sve zdravs</w:t>
      </w:r>
      <w:r w:rsidR="00104529" w:rsidRPr="00C00F2A">
        <w:rPr>
          <w:sz w:val="22"/>
          <w:szCs w:val="22"/>
        </w:rPr>
        <w:t>t</w:t>
      </w:r>
      <w:r w:rsidR="002E2DDB" w:rsidRPr="00C00F2A">
        <w:rPr>
          <w:sz w:val="22"/>
          <w:szCs w:val="22"/>
        </w:rPr>
        <w:t xml:space="preserve">vene i socijalne potrebe osoba sa ozbiljnim mentalnim </w:t>
      </w:r>
      <w:r w:rsidR="009B42FF" w:rsidRPr="00C00F2A">
        <w:rPr>
          <w:sz w:val="22"/>
          <w:szCs w:val="22"/>
        </w:rPr>
        <w:t>smetnjama</w:t>
      </w:r>
      <w:r w:rsidR="002E2DDB" w:rsidRPr="00C00F2A">
        <w:rPr>
          <w:sz w:val="22"/>
          <w:szCs w:val="22"/>
        </w:rPr>
        <w:t>. Ova mreža uključuje centre za mentalno zdravlje</w:t>
      </w:r>
      <w:r w:rsidR="00104529" w:rsidRPr="00C00F2A">
        <w:rPr>
          <w:sz w:val="22"/>
          <w:szCs w:val="22"/>
        </w:rPr>
        <w:t>,</w:t>
      </w:r>
      <w:r w:rsidR="002E2DDB" w:rsidRPr="00C00F2A">
        <w:rPr>
          <w:sz w:val="22"/>
          <w:szCs w:val="22"/>
        </w:rPr>
        <w:t xml:space="preserve"> sa malim brojem kreveta, psihijatrijsko od</w:t>
      </w:r>
      <w:r w:rsidR="00E54F29" w:rsidRPr="00C00F2A">
        <w:rPr>
          <w:sz w:val="22"/>
          <w:szCs w:val="22"/>
        </w:rPr>
        <w:t>j</w:t>
      </w:r>
      <w:r w:rsidR="002E2DDB" w:rsidRPr="00C00F2A">
        <w:rPr>
          <w:sz w:val="22"/>
          <w:szCs w:val="22"/>
        </w:rPr>
        <w:t>eljenje u opštoj bolnici, usluge stanovanja i širok spektar rehabilitacionih programa (profesionalno osposobljavanje i socijalne kooperative,</w:t>
      </w:r>
      <w:r w:rsidR="003D0222" w:rsidRPr="00C00F2A">
        <w:rPr>
          <w:sz w:val="22"/>
          <w:szCs w:val="22"/>
        </w:rPr>
        <w:t xml:space="preserve"> </w:t>
      </w:r>
      <w:r w:rsidR="002E2DDB" w:rsidRPr="00C00F2A">
        <w:rPr>
          <w:sz w:val="22"/>
          <w:szCs w:val="22"/>
        </w:rPr>
        <w:t xml:space="preserve">između ostalog). </w:t>
      </w:r>
    </w:p>
    <w:p w:rsidR="004923B1" w:rsidRPr="00C00F2A" w:rsidRDefault="00BC4C71" w:rsidP="00964CB6">
      <w:pPr>
        <w:jc w:val="both"/>
        <w:rPr>
          <w:sz w:val="22"/>
          <w:szCs w:val="22"/>
        </w:rPr>
      </w:pPr>
      <w:r w:rsidRPr="00C00F2A">
        <w:rPr>
          <w:sz w:val="22"/>
          <w:szCs w:val="22"/>
        </w:rPr>
        <w:t>R</w:t>
      </w:r>
      <w:r w:rsidR="002E2DDB" w:rsidRPr="00C00F2A">
        <w:rPr>
          <w:sz w:val="22"/>
          <w:szCs w:val="22"/>
        </w:rPr>
        <w:t xml:space="preserve">eforma mentalnog zdravlja </w:t>
      </w:r>
      <w:r w:rsidRPr="00C00F2A">
        <w:rPr>
          <w:sz w:val="22"/>
          <w:szCs w:val="22"/>
        </w:rPr>
        <w:t xml:space="preserve">u drugim regijama </w:t>
      </w:r>
      <w:r w:rsidR="002E2DDB" w:rsidRPr="00C00F2A">
        <w:rPr>
          <w:sz w:val="22"/>
          <w:szCs w:val="22"/>
        </w:rPr>
        <w:t>pratila je iste ciljeve i strategije</w:t>
      </w:r>
      <w:r w:rsidR="00E54F29" w:rsidRPr="00C00F2A">
        <w:rPr>
          <w:sz w:val="22"/>
          <w:szCs w:val="22"/>
        </w:rPr>
        <w:t>,</w:t>
      </w:r>
      <w:r w:rsidR="002E2DDB" w:rsidRPr="00C00F2A">
        <w:rPr>
          <w:sz w:val="22"/>
          <w:szCs w:val="22"/>
        </w:rPr>
        <w:t xml:space="preserve"> uz određene varijacije shodno specifičnostima svakog regiona.</w:t>
      </w:r>
      <w:r w:rsidRPr="00C00F2A">
        <w:rPr>
          <w:sz w:val="22"/>
          <w:szCs w:val="22"/>
        </w:rPr>
        <w:t xml:space="preserve"> </w:t>
      </w:r>
      <w:r w:rsidR="002E2DDB" w:rsidRPr="00C00F2A">
        <w:rPr>
          <w:sz w:val="22"/>
          <w:szCs w:val="22"/>
        </w:rPr>
        <w:t xml:space="preserve">Stoga se reforma psihijatrijskih službi u drugim regijama razlikovala po pitanju dinamike i </w:t>
      </w:r>
      <w:r w:rsidRPr="00C00F2A">
        <w:rPr>
          <w:sz w:val="22"/>
          <w:szCs w:val="22"/>
        </w:rPr>
        <w:t xml:space="preserve">konkretnih koraka u sprovođenju ovog procesa. </w:t>
      </w:r>
    </w:p>
    <w:p w:rsidR="00BC4C71" w:rsidRPr="00C00F2A" w:rsidRDefault="00BC4C71" w:rsidP="00964CB6">
      <w:pPr>
        <w:jc w:val="both"/>
        <w:rPr>
          <w:sz w:val="22"/>
          <w:szCs w:val="22"/>
        </w:rPr>
      </w:pPr>
      <w:r w:rsidRPr="00C00F2A">
        <w:rPr>
          <w:sz w:val="22"/>
          <w:szCs w:val="22"/>
        </w:rPr>
        <w:t xml:space="preserve">Razvoj psihijatrijskih službi u zajednici u regiji </w:t>
      </w:r>
      <w:r w:rsidR="004923B1" w:rsidRPr="00C00F2A">
        <w:rPr>
          <w:sz w:val="22"/>
          <w:szCs w:val="22"/>
        </w:rPr>
        <w:t>Emilia-Romana</w:t>
      </w:r>
      <w:r w:rsidRPr="00C00F2A">
        <w:rPr>
          <w:sz w:val="22"/>
          <w:szCs w:val="22"/>
        </w:rPr>
        <w:t xml:space="preserve"> predstavlja dobar prim</w:t>
      </w:r>
      <w:r w:rsidR="00E54F29" w:rsidRPr="00C00F2A">
        <w:rPr>
          <w:sz w:val="22"/>
          <w:szCs w:val="22"/>
        </w:rPr>
        <w:t>j</w:t>
      </w:r>
      <w:r w:rsidRPr="00C00F2A">
        <w:rPr>
          <w:sz w:val="22"/>
          <w:szCs w:val="22"/>
        </w:rPr>
        <w:t>er faznog pristupa. Početkom 80-tih uspostavljeni su centri za mentalno z</w:t>
      </w:r>
      <w:r w:rsidR="00E54F29" w:rsidRPr="00C00F2A">
        <w:rPr>
          <w:sz w:val="22"/>
          <w:szCs w:val="22"/>
        </w:rPr>
        <w:t>dravlje u zajednici, počelo se s</w:t>
      </w:r>
      <w:r w:rsidRPr="00C00F2A">
        <w:rPr>
          <w:sz w:val="22"/>
          <w:szCs w:val="22"/>
        </w:rPr>
        <w:t>a izm</w:t>
      </w:r>
      <w:r w:rsidR="00E54F29" w:rsidRPr="00C00F2A">
        <w:rPr>
          <w:sz w:val="22"/>
          <w:szCs w:val="22"/>
        </w:rPr>
        <w:t>j</w:t>
      </w:r>
      <w:r w:rsidRPr="00C00F2A">
        <w:rPr>
          <w:sz w:val="22"/>
          <w:szCs w:val="22"/>
        </w:rPr>
        <w:t>eštanjem pacijenanta iz pasihijatrijskih bolnica u manje</w:t>
      </w:r>
      <w:r w:rsidR="00E54F29" w:rsidRPr="00C00F2A">
        <w:rPr>
          <w:sz w:val="22"/>
          <w:szCs w:val="22"/>
        </w:rPr>
        <w:t>,</w:t>
      </w:r>
      <w:r w:rsidRPr="00C00F2A">
        <w:rPr>
          <w:sz w:val="22"/>
          <w:szCs w:val="22"/>
        </w:rPr>
        <w:t xml:space="preserve"> v</w:t>
      </w:r>
      <w:r w:rsidR="006655ED" w:rsidRPr="00C00F2A">
        <w:rPr>
          <w:sz w:val="22"/>
          <w:szCs w:val="22"/>
        </w:rPr>
        <w:t xml:space="preserve">an-bolničke </w:t>
      </w:r>
      <w:r w:rsidR="00A75677" w:rsidRPr="00C00F2A">
        <w:rPr>
          <w:sz w:val="22"/>
          <w:szCs w:val="22"/>
        </w:rPr>
        <w:t>rezidencijalne jednice</w:t>
      </w:r>
      <w:r w:rsidRPr="00C00F2A">
        <w:rPr>
          <w:sz w:val="22"/>
          <w:szCs w:val="22"/>
        </w:rPr>
        <w:t xml:space="preserve"> i uspostavljanjem mreže psihijatrijskih od</w:t>
      </w:r>
      <w:r w:rsidR="00E54F29" w:rsidRPr="00C00F2A">
        <w:rPr>
          <w:sz w:val="22"/>
          <w:szCs w:val="22"/>
        </w:rPr>
        <w:t>j</w:t>
      </w:r>
      <w:r w:rsidRPr="00C00F2A">
        <w:rPr>
          <w:sz w:val="22"/>
          <w:szCs w:val="22"/>
        </w:rPr>
        <w:t>eljenja u opštim bolnicama</w:t>
      </w:r>
      <w:r w:rsidR="004923B1" w:rsidRPr="00C00F2A">
        <w:rPr>
          <w:sz w:val="22"/>
          <w:szCs w:val="22"/>
        </w:rPr>
        <w:t xml:space="preserve">. </w:t>
      </w:r>
      <w:r w:rsidRPr="00C00F2A">
        <w:rPr>
          <w:sz w:val="22"/>
          <w:szCs w:val="22"/>
        </w:rPr>
        <w:t>Resursi za ostvarivanje ovih zadataka obezb</w:t>
      </w:r>
      <w:r w:rsidR="00E54F29" w:rsidRPr="00C00F2A">
        <w:rPr>
          <w:sz w:val="22"/>
          <w:szCs w:val="22"/>
        </w:rPr>
        <w:t>ij</w:t>
      </w:r>
      <w:r w:rsidRPr="00C00F2A">
        <w:rPr>
          <w:sz w:val="22"/>
          <w:szCs w:val="22"/>
        </w:rPr>
        <w:t xml:space="preserve">eđeni </w:t>
      </w:r>
      <w:r w:rsidRPr="00C00F2A">
        <w:rPr>
          <w:sz w:val="22"/>
          <w:szCs w:val="22"/>
        </w:rPr>
        <w:lastRenderedPageBreak/>
        <w:t>su postepenim oslobađanjem postojećih resursa zatvaranjem velikih psihijatriskih bolnica i njihovim preusm</w:t>
      </w:r>
      <w:r w:rsidR="00E54F29" w:rsidRPr="00C00F2A">
        <w:rPr>
          <w:sz w:val="22"/>
          <w:szCs w:val="22"/>
        </w:rPr>
        <w:t>j</w:t>
      </w:r>
      <w:r w:rsidRPr="00C00F2A">
        <w:rPr>
          <w:sz w:val="22"/>
          <w:szCs w:val="22"/>
        </w:rPr>
        <w:t>eravanjem na novouspostavljene usluge mentalnog zdravlja u zajednici. Mnogi (ne i svi) profesionalci prihvatili su prelazak iz starih u nove službe</w:t>
      </w:r>
      <w:r w:rsidR="00762A6B" w:rsidRPr="00C00F2A">
        <w:rPr>
          <w:sz w:val="22"/>
          <w:szCs w:val="22"/>
        </w:rPr>
        <w:t xml:space="preserve">, što je </w:t>
      </w:r>
      <w:r w:rsidR="00104529" w:rsidRPr="00C00F2A">
        <w:rPr>
          <w:sz w:val="22"/>
          <w:szCs w:val="22"/>
        </w:rPr>
        <w:t xml:space="preserve">bilo </w:t>
      </w:r>
      <w:r w:rsidR="00762A6B" w:rsidRPr="00C00F2A">
        <w:rPr>
          <w:sz w:val="22"/>
          <w:szCs w:val="22"/>
        </w:rPr>
        <w:t>praćeno intenzivnim treningom na novom radnom m</w:t>
      </w:r>
      <w:r w:rsidR="00E54F29" w:rsidRPr="00C00F2A">
        <w:rPr>
          <w:sz w:val="22"/>
          <w:szCs w:val="22"/>
        </w:rPr>
        <w:t>j</w:t>
      </w:r>
      <w:r w:rsidR="00762A6B" w:rsidRPr="00C00F2A">
        <w:rPr>
          <w:sz w:val="22"/>
          <w:szCs w:val="22"/>
        </w:rPr>
        <w:t>estu.</w:t>
      </w:r>
      <w:r w:rsidR="00104529" w:rsidRPr="00C00F2A">
        <w:rPr>
          <w:sz w:val="22"/>
          <w:szCs w:val="22"/>
        </w:rPr>
        <w:t xml:space="preserve"> U</w:t>
      </w:r>
      <w:r w:rsidR="00762A6B" w:rsidRPr="00C00F2A">
        <w:rPr>
          <w:sz w:val="22"/>
          <w:szCs w:val="22"/>
        </w:rPr>
        <w:t xml:space="preserve">spostavljen je </w:t>
      </w:r>
      <w:r w:rsidR="00762A6B" w:rsidRPr="00C00F2A">
        <w:rPr>
          <w:b/>
          <w:sz w:val="22"/>
          <w:szCs w:val="22"/>
        </w:rPr>
        <w:t>regionalni centar za psihijatriju</w:t>
      </w:r>
      <w:r w:rsidR="00762A6B" w:rsidRPr="00C00F2A">
        <w:rPr>
          <w:sz w:val="22"/>
          <w:szCs w:val="22"/>
        </w:rPr>
        <w:t xml:space="preserve"> da koordinira i nadgleda kompletan proces. Ovaj centar je u nadležnosti lokalne administracije i njime uv</w:t>
      </w:r>
      <w:r w:rsidR="005A546E" w:rsidRPr="00C00F2A">
        <w:rPr>
          <w:sz w:val="22"/>
          <w:szCs w:val="22"/>
        </w:rPr>
        <w:t>ij</w:t>
      </w:r>
      <w:r w:rsidR="00762A6B" w:rsidRPr="00C00F2A">
        <w:rPr>
          <w:sz w:val="22"/>
          <w:szCs w:val="22"/>
        </w:rPr>
        <w:t>ek rukovodi stručnjak iz oblasti mentalnog zdravlja. Posl</w:t>
      </w:r>
      <w:r w:rsidR="005A546E" w:rsidRPr="00C00F2A">
        <w:rPr>
          <w:sz w:val="22"/>
          <w:szCs w:val="22"/>
        </w:rPr>
        <w:t>j</w:t>
      </w:r>
      <w:r w:rsidR="00762A6B" w:rsidRPr="00C00F2A">
        <w:rPr>
          <w:sz w:val="22"/>
          <w:szCs w:val="22"/>
        </w:rPr>
        <w:t>ednja psihijatrijska bolnica u ovoj regiji zatvorena je 1997. godine, 19 godina od početka reforme.</w:t>
      </w:r>
    </w:p>
    <w:p w:rsidR="005902AC" w:rsidRPr="00C00F2A" w:rsidRDefault="00762A6B" w:rsidP="00964CB6">
      <w:pPr>
        <w:jc w:val="both"/>
        <w:rPr>
          <w:sz w:val="22"/>
          <w:szCs w:val="22"/>
        </w:rPr>
      </w:pPr>
      <w:r w:rsidRPr="00C00F2A">
        <w:rPr>
          <w:sz w:val="22"/>
          <w:szCs w:val="22"/>
        </w:rPr>
        <w:t>U Italiji se i dalje razvijaju inovativ</w:t>
      </w:r>
      <w:r w:rsidR="00104529" w:rsidRPr="00C00F2A">
        <w:rPr>
          <w:sz w:val="22"/>
          <w:szCs w:val="22"/>
        </w:rPr>
        <w:t>n</w:t>
      </w:r>
      <w:r w:rsidRPr="00C00F2A">
        <w:rPr>
          <w:sz w:val="22"/>
          <w:szCs w:val="22"/>
        </w:rPr>
        <w:t>e usluge koj</w:t>
      </w:r>
      <w:r w:rsidR="003D0222" w:rsidRPr="00C00F2A">
        <w:rPr>
          <w:sz w:val="22"/>
          <w:szCs w:val="22"/>
        </w:rPr>
        <w:t>e</w:t>
      </w:r>
      <w:r w:rsidRPr="00C00F2A">
        <w:rPr>
          <w:sz w:val="22"/>
          <w:szCs w:val="22"/>
        </w:rPr>
        <w:t xml:space="preserve"> pružaju sveobuhvatnu</w:t>
      </w:r>
      <w:r w:rsidR="005A546E" w:rsidRPr="00C00F2A">
        <w:rPr>
          <w:sz w:val="22"/>
          <w:szCs w:val="22"/>
        </w:rPr>
        <w:t>,</w:t>
      </w:r>
      <w:r w:rsidRPr="00C00F2A">
        <w:rPr>
          <w:sz w:val="22"/>
          <w:szCs w:val="22"/>
        </w:rPr>
        <w:t xml:space="preserve"> multi-disciplinarnu psihijatrijsku brigu i l</w:t>
      </w:r>
      <w:r w:rsidR="005A546E" w:rsidRPr="00C00F2A">
        <w:rPr>
          <w:sz w:val="22"/>
          <w:szCs w:val="22"/>
        </w:rPr>
        <w:t>ij</w:t>
      </w:r>
      <w:r w:rsidRPr="00C00F2A">
        <w:rPr>
          <w:sz w:val="22"/>
          <w:szCs w:val="22"/>
        </w:rPr>
        <w:t>ečenje, ali i dalje postoje značajne geografske razlike po pitanju kvaliteta pruž</w:t>
      </w:r>
      <w:r w:rsidR="00A75677" w:rsidRPr="00C00F2A">
        <w:rPr>
          <w:sz w:val="22"/>
          <w:szCs w:val="22"/>
        </w:rPr>
        <w:t>a</w:t>
      </w:r>
      <w:r w:rsidRPr="00C00F2A">
        <w:rPr>
          <w:sz w:val="22"/>
          <w:szCs w:val="22"/>
        </w:rPr>
        <w:t>nih usluga.</w:t>
      </w:r>
    </w:p>
    <w:p w:rsidR="00D32E1B" w:rsidRPr="00E00D1D" w:rsidRDefault="00D32E1B" w:rsidP="0088188D">
      <w:pPr>
        <w:pStyle w:val="Heading5"/>
        <w:rPr>
          <w:sz w:val="6"/>
        </w:rPr>
      </w:pPr>
    </w:p>
    <w:p w:rsidR="00F364C0" w:rsidRPr="00C00F2A" w:rsidRDefault="00F364C0" w:rsidP="0088188D">
      <w:pPr>
        <w:pStyle w:val="Heading5"/>
      </w:pPr>
      <w:r w:rsidRPr="00C00F2A">
        <w:t>Ujedinjeno kraljevstvo</w:t>
      </w:r>
    </w:p>
    <w:p w:rsidR="00F17FD4" w:rsidRPr="00C00F2A" w:rsidRDefault="00313065" w:rsidP="00964CB6">
      <w:pPr>
        <w:jc w:val="both"/>
        <w:rPr>
          <w:sz w:val="22"/>
          <w:szCs w:val="22"/>
        </w:rPr>
      </w:pPr>
      <w:r w:rsidRPr="00C00F2A">
        <w:rPr>
          <w:sz w:val="22"/>
          <w:szCs w:val="22"/>
        </w:rPr>
        <w:t>Engl</w:t>
      </w:r>
      <w:r w:rsidR="00F17FD4" w:rsidRPr="00C00F2A">
        <w:rPr>
          <w:sz w:val="22"/>
          <w:szCs w:val="22"/>
        </w:rPr>
        <w:t>eska i Vels se najčešće uzmaju kao prim</w:t>
      </w:r>
      <w:r w:rsidR="005A546E" w:rsidRPr="00C00F2A">
        <w:rPr>
          <w:sz w:val="22"/>
          <w:szCs w:val="22"/>
        </w:rPr>
        <w:t>j</w:t>
      </w:r>
      <w:r w:rsidR="00F17FD4" w:rsidRPr="00C00F2A">
        <w:rPr>
          <w:sz w:val="22"/>
          <w:szCs w:val="22"/>
        </w:rPr>
        <w:t>er reforme u Ujedinjenom kraljevstvu. Iako su tendencije ka zatvaranju velikih psihijatrijskih bolnica postojale već šezdesetih godina prošlog v</w:t>
      </w:r>
      <w:r w:rsidR="005A546E" w:rsidRPr="00C00F2A">
        <w:rPr>
          <w:sz w:val="22"/>
          <w:szCs w:val="22"/>
        </w:rPr>
        <w:t>ij</w:t>
      </w:r>
      <w:r w:rsidR="00F17FD4" w:rsidRPr="00C00F2A">
        <w:rPr>
          <w:sz w:val="22"/>
          <w:szCs w:val="22"/>
        </w:rPr>
        <w:t>eka, zvanična strategija usv</w:t>
      </w:r>
      <w:r w:rsidR="005F3A12" w:rsidRPr="00C00F2A">
        <w:rPr>
          <w:sz w:val="22"/>
          <w:szCs w:val="22"/>
        </w:rPr>
        <w:t>o</w:t>
      </w:r>
      <w:r w:rsidR="00F17FD4" w:rsidRPr="00C00F2A">
        <w:rPr>
          <w:sz w:val="22"/>
          <w:szCs w:val="22"/>
        </w:rPr>
        <w:t>jena je 1971. godine. Ona je predviđala potpuno napuštanje modela psihijatrijskih bolnica i prelazak na zaštitu mentalnog zdravlja u zajednici</w:t>
      </w:r>
      <w:r w:rsidR="005A546E" w:rsidRPr="00C00F2A">
        <w:rPr>
          <w:sz w:val="22"/>
          <w:szCs w:val="22"/>
        </w:rPr>
        <w:t>,</w:t>
      </w:r>
      <w:r w:rsidR="00F17FD4" w:rsidRPr="00C00F2A">
        <w:rPr>
          <w:sz w:val="22"/>
          <w:szCs w:val="22"/>
        </w:rPr>
        <w:t xml:space="preserve"> tako da se sve usluge pružaj</w:t>
      </w:r>
      <w:r w:rsidR="005F3A12" w:rsidRPr="00C00F2A">
        <w:rPr>
          <w:sz w:val="22"/>
          <w:szCs w:val="22"/>
        </w:rPr>
        <w:t>u od strane opštih bolnica uz t</w:t>
      </w:r>
      <w:r w:rsidR="005A546E" w:rsidRPr="00C00F2A">
        <w:rPr>
          <w:sz w:val="22"/>
          <w:szCs w:val="22"/>
        </w:rPr>
        <w:t>ij</w:t>
      </w:r>
      <w:r w:rsidR="00F17FD4" w:rsidRPr="00C00F2A">
        <w:rPr>
          <w:sz w:val="22"/>
          <w:szCs w:val="22"/>
        </w:rPr>
        <w:t xml:space="preserve">esnu saradnju sa primarnom zdravstvenom zaštitom i socijalnim uslugama, poput podrške za samostalno stanovanje, dnevnih usluga i multidisciplinarnih timova za mentalno zdravlje u zajednici. Strategija je bila praćena </w:t>
      </w:r>
      <w:r w:rsidR="00F17FD4" w:rsidRPr="00C00F2A">
        <w:rPr>
          <w:b/>
          <w:sz w:val="22"/>
          <w:szCs w:val="22"/>
        </w:rPr>
        <w:t>preusm</w:t>
      </w:r>
      <w:r w:rsidR="005A546E" w:rsidRPr="00C00F2A">
        <w:rPr>
          <w:b/>
          <w:sz w:val="22"/>
          <w:szCs w:val="22"/>
        </w:rPr>
        <w:t>j</w:t>
      </w:r>
      <w:r w:rsidR="00F17FD4" w:rsidRPr="00C00F2A">
        <w:rPr>
          <w:b/>
          <w:sz w:val="22"/>
          <w:szCs w:val="22"/>
        </w:rPr>
        <w:t>eravanjem sredstava od sistema zdravstva (u čijoj nadležnos</w:t>
      </w:r>
      <w:r w:rsidR="00A936CB" w:rsidRPr="00C00F2A">
        <w:rPr>
          <w:b/>
          <w:sz w:val="22"/>
          <w:szCs w:val="22"/>
        </w:rPr>
        <w:t>t</w:t>
      </w:r>
      <w:r w:rsidR="00F17FD4" w:rsidRPr="00C00F2A">
        <w:rPr>
          <w:b/>
          <w:sz w:val="22"/>
          <w:szCs w:val="22"/>
        </w:rPr>
        <w:t>i su se nalazile institucije) ka lokalnoj samoupravi</w:t>
      </w:r>
      <w:r w:rsidR="00F17FD4" w:rsidRPr="00C00F2A">
        <w:rPr>
          <w:sz w:val="22"/>
          <w:szCs w:val="22"/>
        </w:rPr>
        <w:t>.</w:t>
      </w:r>
    </w:p>
    <w:p w:rsidR="00864E21" w:rsidRPr="00C00F2A" w:rsidRDefault="00F17FD4" w:rsidP="00964CB6">
      <w:pPr>
        <w:jc w:val="both"/>
        <w:rPr>
          <w:sz w:val="22"/>
          <w:szCs w:val="22"/>
        </w:rPr>
      </w:pPr>
      <w:r w:rsidRPr="00C00F2A">
        <w:rPr>
          <w:sz w:val="22"/>
          <w:szCs w:val="22"/>
        </w:rPr>
        <w:t>Ključne prom</w:t>
      </w:r>
      <w:r w:rsidR="005A546E" w:rsidRPr="00C00F2A">
        <w:rPr>
          <w:sz w:val="22"/>
          <w:szCs w:val="22"/>
        </w:rPr>
        <w:t>j</w:t>
      </w:r>
      <w:r w:rsidRPr="00C00F2A">
        <w:rPr>
          <w:sz w:val="22"/>
          <w:szCs w:val="22"/>
        </w:rPr>
        <w:t>ene dešavale su se tokom osamdesetih i devedesetih godina, a do 2000. godine britanska vlada je zatvorila 90 od 120</w:t>
      </w:r>
      <w:r w:rsidR="00864E21" w:rsidRPr="00C00F2A">
        <w:rPr>
          <w:sz w:val="22"/>
          <w:szCs w:val="22"/>
        </w:rPr>
        <w:t xml:space="preserve"> psihijatrijskih bolnica prem</w:t>
      </w:r>
      <w:r w:rsidR="005A546E" w:rsidRPr="00C00F2A">
        <w:rPr>
          <w:sz w:val="22"/>
          <w:szCs w:val="22"/>
        </w:rPr>
        <w:t>j</w:t>
      </w:r>
      <w:r w:rsidR="00864E21" w:rsidRPr="00C00F2A">
        <w:rPr>
          <w:sz w:val="22"/>
          <w:szCs w:val="22"/>
        </w:rPr>
        <w:t>eštajući većinu pacijenata koji su</w:t>
      </w:r>
      <w:r w:rsidR="005F3A12" w:rsidRPr="00C00F2A">
        <w:rPr>
          <w:sz w:val="22"/>
          <w:szCs w:val="22"/>
        </w:rPr>
        <w:t xml:space="preserve"> bili izloženi dugotrajnoj inst</w:t>
      </w:r>
      <w:r w:rsidR="00864E21" w:rsidRPr="00C00F2A">
        <w:rPr>
          <w:sz w:val="22"/>
          <w:szCs w:val="22"/>
        </w:rPr>
        <w:t>ucionalizaciji</w:t>
      </w:r>
      <w:r w:rsidR="005A546E" w:rsidRPr="00C00F2A">
        <w:rPr>
          <w:sz w:val="22"/>
          <w:szCs w:val="22"/>
        </w:rPr>
        <w:t>,</w:t>
      </w:r>
      <w:r w:rsidR="00864E21" w:rsidRPr="00C00F2A">
        <w:rPr>
          <w:sz w:val="22"/>
          <w:szCs w:val="22"/>
        </w:rPr>
        <w:t xml:space="preserve"> u jedinice grupnog stanovanja i centre za zbrinjavanje u zajednici. </w:t>
      </w:r>
    </w:p>
    <w:p w:rsidR="00F17FD4" w:rsidRPr="00C00F2A" w:rsidRDefault="00864E21" w:rsidP="00964CB6">
      <w:pPr>
        <w:jc w:val="both"/>
        <w:rPr>
          <w:sz w:val="22"/>
          <w:szCs w:val="22"/>
        </w:rPr>
      </w:pPr>
      <w:r w:rsidRPr="00C00F2A">
        <w:rPr>
          <w:sz w:val="22"/>
          <w:szCs w:val="22"/>
        </w:rPr>
        <w:t>Nacionalni okvir za pružanje usluga mentalnog zdravlja</w:t>
      </w:r>
      <w:r w:rsidRPr="00C00F2A">
        <w:rPr>
          <w:rStyle w:val="FootnoteReference"/>
          <w:sz w:val="22"/>
          <w:szCs w:val="22"/>
        </w:rPr>
        <w:footnoteReference w:id="19"/>
      </w:r>
      <w:r w:rsidR="005F3A12" w:rsidRPr="00C00F2A">
        <w:rPr>
          <w:sz w:val="22"/>
          <w:szCs w:val="22"/>
        </w:rPr>
        <w:t xml:space="preserve">, </w:t>
      </w:r>
      <w:r w:rsidRPr="00C00F2A">
        <w:rPr>
          <w:sz w:val="22"/>
          <w:szCs w:val="22"/>
        </w:rPr>
        <w:t>usvojen 1999.</w:t>
      </w:r>
      <w:r w:rsidR="005F3A12" w:rsidRPr="00C00F2A">
        <w:rPr>
          <w:sz w:val="22"/>
          <w:szCs w:val="22"/>
        </w:rPr>
        <w:t xml:space="preserve"> godine,</w:t>
      </w:r>
      <w:r w:rsidRPr="00C00F2A">
        <w:rPr>
          <w:sz w:val="22"/>
          <w:szCs w:val="22"/>
        </w:rPr>
        <w:t xml:space="preserve"> detaljno je razradio razvoj </w:t>
      </w:r>
      <w:r w:rsidRPr="00C00F2A">
        <w:rPr>
          <w:i/>
          <w:sz w:val="22"/>
          <w:szCs w:val="22"/>
        </w:rPr>
        <w:t>specijalizovanih timova za mentalno zdravlje u zajednici</w:t>
      </w:r>
      <w:r w:rsidRPr="00C00F2A">
        <w:rPr>
          <w:sz w:val="22"/>
          <w:szCs w:val="22"/>
        </w:rPr>
        <w:t xml:space="preserve">. Tako je </w:t>
      </w:r>
      <w:r w:rsidR="004D3F1A" w:rsidRPr="00C00F2A">
        <w:rPr>
          <w:sz w:val="22"/>
          <w:szCs w:val="22"/>
        </w:rPr>
        <w:t xml:space="preserve">širom Engleske </w:t>
      </w:r>
      <w:r w:rsidRPr="00C00F2A">
        <w:rPr>
          <w:sz w:val="22"/>
          <w:szCs w:val="22"/>
        </w:rPr>
        <w:t xml:space="preserve">oformljeno preko 200 timova za podršku i tretman u zajednici (ACT – </w:t>
      </w:r>
      <w:r w:rsidRPr="00C00F2A">
        <w:rPr>
          <w:i/>
          <w:sz w:val="22"/>
          <w:szCs w:val="22"/>
        </w:rPr>
        <w:t>assertive community treatment teams</w:t>
      </w:r>
      <w:r w:rsidRPr="00C00F2A">
        <w:rPr>
          <w:sz w:val="22"/>
          <w:szCs w:val="22"/>
        </w:rPr>
        <w:t xml:space="preserve">), 50 servisa za ranu intervenciju i 300 timova za </w:t>
      </w:r>
      <w:r w:rsidR="004D3F1A" w:rsidRPr="00C00F2A">
        <w:rPr>
          <w:sz w:val="22"/>
          <w:szCs w:val="22"/>
        </w:rPr>
        <w:t>krizne situacije i tretman u kući.</w:t>
      </w:r>
      <w:r w:rsidRPr="00C00F2A">
        <w:rPr>
          <w:sz w:val="22"/>
          <w:szCs w:val="22"/>
        </w:rPr>
        <w:t xml:space="preserve"> </w:t>
      </w:r>
      <w:r w:rsidR="004D3F1A" w:rsidRPr="00C00F2A">
        <w:rPr>
          <w:sz w:val="22"/>
          <w:szCs w:val="22"/>
        </w:rPr>
        <w:t>Svi oni radili su uporedo sa timovima centara za mentalno zdravlje u zajednici i lokalnim bolničkim od</w:t>
      </w:r>
      <w:r w:rsidR="002A4302" w:rsidRPr="00C00F2A">
        <w:rPr>
          <w:sz w:val="22"/>
          <w:szCs w:val="22"/>
        </w:rPr>
        <w:t>j</w:t>
      </w:r>
      <w:r w:rsidR="004D3F1A" w:rsidRPr="00C00F2A">
        <w:rPr>
          <w:sz w:val="22"/>
          <w:szCs w:val="22"/>
        </w:rPr>
        <w:t>eljenjima za privremenu hospitalizaciju.</w:t>
      </w:r>
    </w:p>
    <w:p w:rsidR="00522F60" w:rsidRPr="00C00F2A" w:rsidRDefault="00522F60" w:rsidP="00964CB6">
      <w:pPr>
        <w:jc w:val="both"/>
        <w:rPr>
          <w:sz w:val="22"/>
          <w:szCs w:val="22"/>
        </w:rPr>
      </w:pPr>
      <w:r w:rsidRPr="00C00F2A">
        <w:rPr>
          <w:sz w:val="22"/>
          <w:szCs w:val="22"/>
        </w:rPr>
        <w:t>Skorašnja strateška dokumenta usm</w:t>
      </w:r>
      <w:r w:rsidR="00496904" w:rsidRPr="00C00F2A">
        <w:rPr>
          <w:sz w:val="22"/>
          <w:szCs w:val="22"/>
        </w:rPr>
        <w:t>j</w:t>
      </w:r>
      <w:r w:rsidRPr="00C00F2A">
        <w:rPr>
          <w:sz w:val="22"/>
          <w:szCs w:val="22"/>
        </w:rPr>
        <w:t>erena su na podsticanje saradnje između primarne i specijalističke psihijatrijske zaštite za tretman učestalih mentalnih oboljenja, bolji pristup psihološkom sav</w:t>
      </w:r>
      <w:r w:rsidR="00496904" w:rsidRPr="00C00F2A">
        <w:rPr>
          <w:sz w:val="22"/>
          <w:szCs w:val="22"/>
        </w:rPr>
        <w:t>j</w:t>
      </w:r>
      <w:r w:rsidRPr="00C00F2A">
        <w:rPr>
          <w:sz w:val="22"/>
          <w:szCs w:val="22"/>
        </w:rPr>
        <w:t>etovanju i psihoterapiji, posvećivanje pažnje na fizičko zdravlje osob</w:t>
      </w:r>
      <w:r w:rsidR="00B23251" w:rsidRPr="00C00F2A">
        <w:rPr>
          <w:sz w:val="22"/>
          <w:szCs w:val="22"/>
        </w:rPr>
        <w:t>a sa teškim mentalnim smetnjam</w:t>
      </w:r>
      <w:r w:rsidRPr="00C00F2A">
        <w:rPr>
          <w:sz w:val="22"/>
          <w:szCs w:val="22"/>
        </w:rPr>
        <w:t>a i veću zastupljenost pristupa zasnovanog na oporavku.</w:t>
      </w:r>
    </w:p>
    <w:p w:rsidR="009D4CA0" w:rsidRPr="00C00F2A" w:rsidRDefault="009D4CA0" w:rsidP="00964CB6">
      <w:pPr>
        <w:jc w:val="both"/>
        <w:rPr>
          <w:sz w:val="22"/>
          <w:szCs w:val="22"/>
        </w:rPr>
      </w:pPr>
      <w:r w:rsidRPr="00C00F2A">
        <w:rPr>
          <w:sz w:val="22"/>
          <w:szCs w:val="22"/>
        </w:rPr>
        <w:lastRenderedPageBreak/>
        <w:t>Bez obzira na sve izazove, britansko iskustvo predstavlja odličan prim</w:t>
      </w:r>
      <w:r w:rsidR="00496904" w:rsidRPr="00C00F2A">
        <w:rPr>
          <w:sz w:val="22"/>
          <w:szCs w:val="22"/>
        </w:rPr>
        <w:t>j</w:t>
      </w:r>
      <w:r w:rsidRPr="00C00F2A">
        <w:rPr>
          <w:sz w:val="22"/>
          <w:szCs w:val="22"/>
        </w:rPr>
        <w:t>er detaljno</w:t>
      </w:r>
      <w:r w:rsidR="009264A2" w:rsidRPr="00C00F2A">
        <w:rPr>
          <w:sz w:val="22"/>
          <w:szCs w:val="22"/>
        </w:rPr>
        <w:t xml:space="preserve"> isplanirane</w:t>
      </w:r>
      <w:r w:rsidRPr="00C00F2A">
        <w:rPr>
          <w:sz w:val="22"/>
          <w:szCs w:val="22"/>
        </w:rPr>
        <w:t xml:space="preserve"> i konzis</w:t>
      </w:r>
      <w:r w:rsidR="009264A2" w:rsidRPr="00C00F2A">
        <w:rPr>
          <w:sz w:val="22"/>
          <w:szCs w:val="22"/>
        </w:rPr>
        <w:t>tentne strategije rukovođene razum</w:t>
      </w:r>
      <w:r w:rsidR="00496904" w:rsidRPr="00C00F2A">
        <w:rPr>
          <w:sz w:val="22"/>
          <w:szCs w:val="22"/>
        </w:rPr>
        <w:t>ij</w:t>
      </w:r>
      <w:r w:rsidR="009264A2" w:rsidRPr="00C00F2A">
        <w:rPr>
          <w:sz w:val="22"/>
          <w:szCs w:val="22"/>
        </w:rPr>
        <w:t>evanjem od strane državne uprave</w:t>
      </w:r>
      <w:r w:rsidR="00496904" w:rsidRPr="00C00F2A">
        <w:rPr>
          <w:sz w:val="22"/>
          <w:szCs w:val="22"/>
        </w:rPr>
        <w:t>,</w:t>
      </w:r>
      <w:r w:rsidR="009264A2" w:rsidRPr="00C00F2A">
        <w:rPr>
          <w:sz w:val="22"/>
          <w:szCs w:val="22"/>
        </w:rPr>
        <w:t xml:space="preserve"> da je institucionalno zbrinjav</w:t>
      </w:r>
      <w:r w:rsidR="00B9537D" w:rsidRPr="00C00F2A">
        <w:rPr>
          <w:sz w:val="22"/>
          <w:szCs w:val="22"/>
        </w:rPr>
        <w:t>anje ljudi sa mentalnim smetnjam</w:t>
      </w:r>
      <w:r w:rsidR="009264A2" w:rsidRPr="00C00F2A">
        <w:rPr>
          <w:sz w:val="22"/>
          <w:szCs w:val="22"/>
        </w:rPr>
        <w:t xml:space="preserve">a neprihvatljivo. </w:t>
      </w:r>
    </w:p>
    <w:p w:rsidR="00B52F15" w:rsidRPr="00E00D1D" w:rsidRDefault="00B52F15" w:rsidP="00397404">
      <w:pPr>
        <w:pStyle w:val="Heading5"/>
        <w:rPr>
          <w:sz w:val="6"/>
        </w:rPr>
      </w:pPr>
    </w:p>
    <w:p w:rsidR="00397404" w:rsidRPr="00C00F2A" w:rsidRDefault="00397404" w:rsidP="00397404">
      <w:pPr>
        <w:pStyle w:val="Heading5"/>
      </w:pPr>
      <w:r w:rsidRPr="00C00F2A">
        <w:t>Španija</w:t>
      </w:r>
    </w:p>
    <w:p w:rsidR="00667331" w:rsidRPr="00C00F2A" w:rsidRDefault="003E7797" w:rsidP="00964CB6">
      <w:pPr>
        <w:jc w:val="both"/>
        <w:rPr>
          <w:sz w:val="22"/>
          <w:szCs w:val="22"/>
        </w:rPr>
      </w:pPr>
      <w:r w:rsidRPr="00C00F2A">
        <w:rPr>
          <w:sz w:val="22"/>
          <w:szCs w:val="22"/>
        </w:rPr>
        <w:t>Radikalne prom</w:t>
      </w:r>
      <w:r w:rsidR="00496904" w:rsidRPr="00C00F2A">
        <w:rPr>
          <w:sz w:val="22"/>
          <w:szCs w:val="22"/>
        </w:rPr>
        <w:t>j</w:t>
      </w:r>
      <w:r w:rsidRPr="00C00F2A">
        <w:rPr>
          <w:sz w:val="22"/>
          <w:szCs w:val="22"/>
        </w:rPr>
        <w:t>ene u javnom sistemu mentalnog zdravlja pokrenute su osamdesetih godina u Andaluziji, jedno</w:t>
      </w:r>
      <w:r w:rsidR="003D0222" w:rsidRPr="00C00F2A">
        <w:rPr>
          <w:sz w:val="22"/>
          <w:szCs w:val="22"/>
        </w:rPr>
        <w:t>m</w:t>
      </w:r>
      <w:r w:rsidRPr="00C00F2A">
        <w:rPr>
          <w:sz w:val="22"/>
          <w:szCs w:val="22"/>
        </w:rPr>
        <w:t xml:space="preserve"> od 17 regiona u Španiji. Do tada, psihijatrijsko l</w:t>
      </w:r>
      <w:r w:rsidR="00496904" w:rsidRPr="00C00F2A">
        <w:rPr>
          <w:sz w:val="22"/>
          <w:szCs w:val="22"/>
        </w:rPr>
        <w:t>ij</w:t>
      </w:r>
      <w:r w:rsidRPr="00C00F2A">
        <w:rPr>
          <w:sz w:val="22"/>
          <w:szCs w:val="22"/>
        </w:rPr>
        <w:t>ečenje bilo je izdvojeno od sistema opšte zdravstvene zaštite, sa ograničenim resursima usm</w:t>
      </w:r>
      <w:r w:rsidR="00496904" w:rsidRPr="00C00F2A">
        <w:rPr>
          <w:sz w:val="22"/>
          <w:szCs w:val="22"/>
        </w:rPr>
        <w:t>j</w:t>
      </w:r>
      <w:r w:rsidRPr="00C00F2A">
        <w:rPr>
          <w:sz w:val="22"/>
          <w:szCs w:val="22"/>
        </w:rPr>
        <w:t>erenim isključivo na osam psihijatrijskih bolnica i mali broj klinika za van-bolničko l</w:t>
      </w:r>
      <w:r w:rsidR="00496904" w:rsidRPr="00C00F2A">
        <w:rPr>
          <w:sz w:val="22"/>
          <w:szCs w:val="22"/>
        </w:rPr>
        <w:t>ij</w:t>
      </w:r>
      <w:r w:rsidRPr="00C00F2A">
        <w:rPr>
          <w:sz w:val="22"/>
          <w:szCs w:val="22"/>
        </w:rPr>
        <w:t>ečenje. Psihijatrijske bolnice imale su ukupan kapacitet od oko 3000 kreveta, sa 2700 hroničnih bolesnika na dugotrajnom sm</w:t>
      </w:r>
      <w:r w:rsidR="00357AD3" w:rsidRPr="00C00F2A">
        <w:rPr>
          <w:sz w:val="22"/>
          <w:szCs w:val="22"/>
        </w:rPr>
        <w:t>j</w:t>
      </w:r>
      <w:r w:rsidRPr="00C00F2A">
        <w:rPr>
          <w:sz w:val="22"/>
          <w:szCs w:val="22"/>
        </w:rPr>
        <w:t>eštaju.</w:t>
      </w:r>
    </w:p>
    <w:p w:rsidR="00B921B4" w:rsidRPr="00C00F2A" w:rsidRDefault="00B921B4" w:rsidP="00964CB6">
      <w:pPr>
        <w:jc w:val="both"/>
        <w:rPr>
          <w:sz w:val="22"/>
          <w:szCs w:val="22"/>
        </w:rPr>
      </w:pPr>
      <w:r w:rsidRPr="00C00F2A">
        <w:rPr>
          <w:sz w:val="22"/>
          <w:szCs w:val="22"/>
        </w:rPr>
        <w:t>Strategija za kreiranje mreže socijalnih usluga za pruž</w:t>
      </w:r>
      <w:r w:rsidR="005F3A12" w:rsidRPr="00C00F2A">
        <w:rPr>
          <w:sz w:val="22"/>
          <w:szCs w:val="22"/>
        </w:rPr>
        <w:t>a</w:t>
      </w:r>
      <w:r w:rsidRPr="00C00F2A">
        <w:rPr>
          <w:sz w:val="22"/>
          <w:szCs w:val="22"/>
        </w:rPr>
        <w:t>nje podrške mentalno obol</w:t>
      </w:r>
      <w:r w:rsidR="00357AD3" w:rsidRPr="00C00F2A">
        <w:rPr>
          <w:sz w:val="22"/>
          <w:szCs w:val="22"/>
        </w:rPr>
        <w:t>j</w:t>
      </w:r>
      <w:r w:rsidRPr="00C00F2A">
        <w:rPr>
          <w:sz w:val="22"/>
          <w:szCs w:val="22"/>
        </w:rPr>
        <w:t xml:space="preserve">elim osobama u zajednici predstavlja jedan od najoriginalnijih i najkreativnijih aspekata reforme. Naime, </w:t>
      </w:r>
      <w:r w:rsidRPr="00C00F2A">
        <w:rPr>
          <w:i/>
          <w:sz w:val="22"/>
          <w:szCs w:val="22"/>
        </w:rPr>
        <w:t>suština strategije bila je u formiranju javne (državne) fondacije</w:t>
      </w:r>
      <w:r w:rsidR="00357AD3" w:rsidRPr="00C00F2A">
        <w:rPr>
          <w:i/>
          <w:sz w:val="22"/>
          <w:szCs w:val="22"/>
        </w:rPr>
        <w:t>,</w:t>
      </w:r>
      <w:r w:rsidRPr="00C00F2A">
        <w:rPr>
          <w:i/>
          <w:sz w:val="22"/>
          <w:szCs w:val="22"/>
        </w:rPr>
        <w:t xml:space="preserve"> koju su podjednako finansirala četiri državna resora najrelevatnija za prižanje podrške mentalno obol</w:t>
      </w:r>
      <w:r w:rsidR="00357AD3" w:rsidRPr="00C00F2A">
        <w:rPr>
          <w:i/>
          <w:sz w:val="22"/>
          <w:szCs w:val="22"/>
        </w:rPr>
        <w:t>j</w:t>
      </w:r>
      <w:r w:rsidRPr="00C00F2A">
        <w:rPr>
          <w:i/>
          <w:sz w:val="22"/>
          <w:szCs w:val="22"/>
        </w:rPr>
        <w:t>elim osobama (zdravstvo, socijalna zaštita, zapošljavanje i tehnološki razvoj i ekonomija i finansije). Tome se naknadno priključio i sektor obrazovanja.</w:t>
      </w:r>
    </w:p>
    <w:p w:rsidR="00397404" w:rsidRDefault="003E7797" w:rsidP="00964CB6">
      <w:pPr>
        <w:jc w:val="both"/>
        <w:rPr>
          <w:sz w:val="22"/>
          <w:szCs w:val="22"/>
        </w:rPr>
      </w:pPr>
      <w:r w:rsidRPr="00C00F2A">
        <w:rPr>
          <w:sz w:val="22"/>
          <w:szCs w:val="22"/>
        </w:rPr>
        <w:t>Veliki usp</w:t>
      </w:r>
      <w:r w:rsidR="00357AD3" w:rsidRPr="00C00F2A">
        <w:rPr>
          <w:sz w:val="22"/>
          <w:szCs w:val="22"/>
        </w:rPr>
        <w:t>j</w:t>
      </w:r>
      <w:r w:rsidRPr="00C00F2A">
        <w:rPr>
          <w:sz w:val="22"/>
          <w:szCs w:val="22"/>
        </w:rPr>
        <w:t>eh ove strategije ogledao se</w:t>
      </w:r>
      <w:r w:rsidR="001932B4" w:rsidRPr="00C00F2A">
        <w:rPr>
          <w:sz w:val="22"/>
          <w:szCs w:val="22"/>
        </w:rPr>
        <w:t xml:space="preserve"> u tome što je </w:t>
      </w:r>
      <w:r w:rsidRPr="00C00F2A">
        <w:rPr>
          <w:sz w:val="22"/>
          <w:szCs w:val="22"/>
        </w:rPr>
        <w:t>obezb</w:t>
      </w:r>
      <w:r w:rsidR="00357AD3" w:rsidRPr="00C00F2A">
        <w:rPr>
          <w:sz w:val="22"/>
          <w:szCs w:val="22"/>
        </w:rPr>
        <w:t>ij</w:t>
      </w:r>
      <w:r w:rsidRPr="00C00F2A">
        <w:rPr>
          <w:sz w:val="22"/>
          <w:szCs w:val="22"/>
        </w:rPr>
        <w:t>e</w:t>
      </w:r>
      <w:r w:rsidR="001932B4" w:rsidRPr="00C00F2A">
        <w:rPr>
          <w:sz w:val="22"/>
          <w:szCs w:val="22"/>
        </w:rPr>
        <w:t>d</w:t>
      </w:r>
      <w:r w:rsidR="00357AD3" w:rsidRPr="00C00F2A">
        <w:rPr>
          <w:sz w:val="22"/>
          <w:szCs w:val="22"/>
        </w:rPr>
        <w:t>i</w:t>
      </w:r>
      <w:r w:rsidR="001932B4" w:rsidRPr="00C00F2A">
        <w:rPr>
          <w:sz w:val="22"/>
          <w:szCs w:val="22"/>
        </w:rPr>
        <w:t>o</w:t>
      </w:r>
      <w:r w:rsidRPr="00C00F2A">
        <w:rPr>
          <w:sz w:val="22"/>
          <w:szCs w:val="22"/>
        </w:rPr>
        <w:t>: državno intersekto</w:t>
      </w:r>
      <w:r w:rsidR="001932B4" w:rsidRPr="00C00F2A">
        <w:rPr>
          <w:sz w:val="22"/>
          <w:szCs w:val="22"/>
        </w:rPr>
        <w:t>rsko</w:t>
      </w:r>
      <w:r w:rsidR="003E6B93" w:rsidRPr="00C00F2A">
        <w:rPr>
          <w:sz w:val="22"/>
          <w:szCs w:val="22"/>
        </w:rPr>
        <w:t xml:space="preserve"> finansiranj</w:t>
      </w:r>
      <w:r w:rsidR="001932B4" w:rsidRPr="00C00F2A">
        <w:rPr>
          <w:sz w:val="22"/>
          <w:szCs w:val="22"/>
        </w:rPr>
        <w:t>e</w:t>
      </w:r>
      <w:r w:rsidR="003E6B93" w:rsidRPr="00C00F2A">
        <w:rPr>
          <w:sz w:val="22"/>
          <w:szCs w:val="22"/>
        </w:rPr>
        <w:t>; koordin</w:t>
      </w:r>
      <w:r w:rsidR="00227E20" w:rsidRPr="00C00F2A">
        <w:rPr>
          <w:sz w:val="22"/>
          <w:szCs w:val="22"/>
        </w:rPr>
        <w:t>is</w:t>
      </w:r>
      <w:r w:rsidR="008A6054" w:rsidRPr="00C00F2A">
        <w:rPr>
          <w:sz w:val="22"/>
          <w:szCs w:val="22"/>
        </w:rPr>
        <w:t>ano</w:t>
      </w:r>
      <w:r w:rsidR="003E6B93" w:rsidRPr="00C00F2A">
        <w:rPr>
          <w:sz w:val="22"/>
          <w:szCs w:val="22"/>
        </w:rPr>
        <w:t xml:space="preserve"> planiranje i </w:t>
      </w:r>
      <w:r w:rsidRPr="00C00F2A">
        <w:rPr>
          <w:sz w:val="22"/>
          <w:szCs w:val="22"/>
        </w:rPr>
        <w:t>upravljanj</w:t>
      </w:r>
      <w:r w:rsidR="003E6B93" w:rsidRPr="00C00F2A">
        <w:rPr>
          <w:sz w:val="22"/>
          <w:szCs w:val="22"/>
        </w:rPr>
        <w:t>e uslugama socijalne podrške uz blisku saradnju sa zdravstvenim uslugama; fleksibilno i efikasno upravljenje i raspod</w:t>
      </w:r>
      <w:r w:rsidR="00357AD3" w:rsidRPr="00C00F2A">
        <w:rPr>
          <w:sz w:val="22"/>
          <w:szCs w:val="22"/>
        </w:rPr>
        <w:t>j</w:t>
      </w:r>
      <w:r w:rsidR="003E6B93" w:rsidRPr="00C00F2A">
        <w:rPr>
          <w:sz w:val="22"/>
          <w:szCs w:val="22"/>
        </w:rPr>
        <w:t>elu resursa; učešće lokalnih organizacija, kao i udruženja korisnika i porodica i osoblja u razvoju i praćenju prim</w:t>
      </w:r>
      <w:r w:rsidR="00357AD3" w:rsidRPr="00C00F2A">
        <w:rPr>
          <w:sz w:val="22"/>
          <w:szCs w:val="22"/>
        </w:rPr>
        <w:t>j</w:t>
      </w:r>
      <w:r w:rsidR="003E6B93" w:rsidRPr="00C00F2A">
        <w:rPr>
          <w:sz w:val="22"/>
          <w:szCs w:val="22"/>
        </w:rPr>
        <w:t>ene ovih programa</w:t>
      </w:r>
      <w:r w:rsidR="00397404" w:rsidRPr="00C00F2A">
        <w:rPr>
          <w:sz w:val="22"/>
          <w:szCs w:val="22"/>
        </w:rPr>
        <w:t>.</w:t>
      </w:r>
    </w:p>
    <w:p w:rsidR="00D32E1B" w:rsidRPr="00C00F2A" w:rsidRDefault="00E00D1D" w:rsidP="00964CB6">
      <w:pPr>
        <w:jc w:val="both"/>
        <w:rPr>
          <w:sz w:val="22"/>
          <w:szCs w:val="22"/>
        </w:rPr>
      </w:pPr>
      <w:r w:rsidRPr="00D32E1B">
        <w:rPr>
          <w:rFonts w:eastAsia="Times New Roman" w:cs="Times New Roman"/>
          <w:noProof/>
          <w:sz w:val="22"/>
          <w:szCs w:val="22"/>
          <w:lang w:val="en-US"/>
        </w:rPr>
        <mc:AlternateContent>
          <mc:Choice Requires="wps">
            <w:drawing>
              <wp:anchor distT="0" distB="0" distL="114300" distR="114300" simplePos="0" relativeHeight="251696128" behindDoc="0" locked="0" layoutInCell="1" allowOverlap="1" wp14:anchorId="7F9D92C8" wp14:editId="5B15107F">
                <wp:simplePos x="0" y="0"/>
                <wp:positionH relativeFrom="column">
                  <wp:posOffset>-73025</wp:posOffset>
                </wp:positionH>
                <wp:positionV relativeFrom="page">
                  <wp:posOffset>5598795</wp:posOffset>
                </wp:positionV>
                <wp:extent cx="5839460" cy="4260850"/>
                <wp:effectExtent l="0" t="0" r="27940" b="25400"/>
                <wp:wrapNone/>
                <wp:docPr id="1" name="Rounded Rectangle 1"/>
                <wp:cNvGraphicFramePr/>
                <a:graphic xmlns:a="http://schemas.openxmlformats.org/drawingml/2006/main">
                  <a:graphicData uri="http://schemas.microsoft.com/office/word/2010/wordprocessingShape">
                    <wps:wsp>
                      <wps:cNvSpPr/>
                      <wps:spPr>
                        <a:xfrm>
                          <a:off x="0" y="0"/>
                          <a:ext cx="5839460" cy="4260850"/>
                        </a:xfrm>
                        <a:prstGeom prst="roundRect">
                          <a:avLst/>
                        </a:prstGeom>
                        <a:solidFill>
                          <a:sysClr val="window" lastClr="FFFFFF"/>
                        </a:solidFill>
                        <a:ln w="25400" cap="flat" cmpd="sng" algn="ctr">
                          <a:solidFill>
                            <a:srgbClr val="4F81BD"/>
                          </a:solidFill>
                          <a:prstDash val="solid"/>
                        </a:ln>
                        <a:effectLst/>
                      </wps:spPr>
                      <wps:txbx>
                        <w:txbxContent>
                          <w:p w:rsidR="00F67406" w:rsidRPr="00B52F15" w:rsidRDefault="00F67406" w:rsidP="00D32E1B">
                            <w:pPr>
                              <w:jc w:val="both"/>
                              <w:rPr>
                                <w:sz w:val="22"/>
                              </w:rPr>
                            </w:pPr>
                            <w:r w:rsidRPr="00B52F15">
                              <w:rPr>
                                <w:sz w:val="22"/>
                              </w:rPr>
                              <w:t>Ishod reforme se ogleda u sljedećem:</w:t>
                            </w:r>
                          </w:p>
                          <w:p w:rsidR="00F67406" w:rsidRPr="00B52F15" w:rsidRDefault="00F67406" w:rsidP="00D32E1B">
                            <w:pPr>
                              <w:pStyle w:val="ListParagraph"/>
                              <w:numPr>
                                <w:ilvl w:val="0"/>
                                <w:numId w:val="7"/>
                              </w:numPr>
                              <w:jc w:val="both"/>
                              <w:rPr>
                                <w:sz w:val="22"/>
                              </w:rPr>
                            </w:pPr>
                            <w:r w:rsidRPr="00B52F15">
                              <w:rPr>
                                <w:b/>
                                <w:sz w:val="22"/>
                              </w:rPr>
                              <w:t>Zatvaranje svih psihijatrijskih bolnica</w:t>
                            </w:r>
                            <w:r w:rsidRPr="00B52F15">
                              <w:rPr>
                                <w:sz w:val="22"/>
                              </w:rPr>
                              <w:t>, kroz individualne planove za deinstitucionalizaciju i prenamjenu postojećih objekata (najčešće za potrebe opšte zdravstvene zaštite);</w:t>
                            </w:r>
                          </w:p>
                          <w:p w:rsidR="00F67406" w:rsidRPr="00B52F15" w:rsidRDefault="00F67406" w:rsidP="00D32E1B">
                            <w:pPr>
                              <w:pStyle w:val="ListParagraph"/>
                              <w:numPr>
                                <w:ilvl w:val="0"/>
                                <w:numId w:val="7"/>
                              </w:numPr>
                              <w:jc w:val="both"/>
                              <w:rPr>
                                <w:sz w:val="22"/>
                              </w:rPr>
                            </w:pPr>
                            <w:r w:rsidRPr="00B52F15">
                              <w:rPr>
                                <w:b/>
                                <w:sz w:val="22"/>
                              </w:rPr>
                              <w:t xml:space="preserve">Stvaranje nove mreže specijalnizovanih usluga za mentalno zdravlje </w:t>
                            </w:r>
                            <w:r w:rsidRPr="00B52F15">
                              <w:rPr>
                                <w:sz w:val="22"/>
                              </w:rPr>
                              <w:t>koje se pružaju u zajednici i integrisane su u opšti zdravstveni sistem. Ova mreža organizovana je po sektorima, takozvanim „oblastima mentalnog zdravlja“ i uključuje: timove za mentalno zdravlje u zajednici koji rade tijesno povezani sa primarnom zdravstvenom zaštitom; bolnička odjeljenja u opštim bolnicama, centre za vanbolničko liječenje djece sa problemima mentalnog zdravlja, dnevne centre, centre za rehabilitaciju i terapijske zajednice (centri za tretman pacijenata kojima je na duži period potrebno stru</w:t>
                            </w:r>
                            <w:r>
                              <w:rPr>
                                <w:sz w:val="22"/>
                              </w:rPr>
                              <w:t>kturirano terapijsko okruženje);</w:t>
                            </w:r>
                          </w:p>
                          <w:p w:rsidR="00F67406" w:rsidRPr="00B52F15" w:rsidRDefault="00F67406" w:rsidP="00D32E1B">
                            <w:pPr>
                              <w:pStyle w:val="ListParagraph"/>
                              <w:numPr>
                                <w:ilvl w:val="0"/>
                                <w:numId w:val="7"/>
                              </w:numPr>
                              <w:jc w:val="both"/>
                              <w:rPr>
                                <w:sz w:val="22"/>
                              </w:rPr>
                            </w:pPr>
                            <w:r w:rsidRPr="00B52F15">
                              <w:rPr>
                                <w:sz w:val="22"/>
                              </w:rPr>
                              <w:t xml:space="preserve">Stvaranje nove državne organizacije, Andaluzijska </w:t>
                            </w:r>
                            <w:r w:rsidRPr="00B52F15">
                              <w:rPr>
                                <w:b/>
                                <w:sz w:val="22"/>
                              </w:rPr>
                              <w:t>Fondacija za socijalnu integraciju osoba sa mentalnim smetnjama (</w:t>
                            </w:r>
                            <w:r w:rsidRPr="00B52F15">
                              <w:rPr>
                                <w:sz w:val="22"/>
                              </w:rPr>
                              <w:t>FAISEM), koja upravlja mrežom socijalnih usluga. Ova mreža uključuje rezidencijalne, okupa</w:t>
                            </w:r>
                            <w:r>
                              <w:rPr>
                                <w:sz w:val="22"/>
                              </w:rPr>
                              <w:t>cione i radne centre i programe;</w:t>
                            </w:r>
                          </w:p>
                          <w:p w:rsidR="00F67406" w:rsidRPr="00B52F15" w:rsidRDefault="00F67406" w:rsidP="00D32E1B">
                            <w:pPr>
                              <w:pStyle w:val="ListParagraph"/>
                              <w:numPr>
                                <w:ilvl w:val="0"/>
                                <w:numId w:val="7"/>
                              </w:numPr>
                              <w:jc w:val="both"/>
                              <w:rPr>
                                <w:sz w:val="22"/>
                              </w:rPr>
                            </w:pPr>
                            <w:r w:rsidRPr="00B52F15">
                              <w:rPr>
                                <w:sz w:val="22"/>
                              </w:rPr>
                              <w:t xml:space="preserve">Formulisanje </w:t>
                            </w:r>
                            <w:r w:rsidRPr="00B52F15">
                              <w:rPr>
                                <w:b/>
                                <w:sz w:val="22"/>
                              </w:rPr>
                              <w:t>intersektorske strategije</w:t>
                            </w:r>
                            <w:r w:rsidRPr="00B52F15">
                              <w:rPr>
                                <w:sz w:val="22"/>
                              </w:rPr>
                              <w:t xml:space="preserve"> koja promoviše saradnju sektora za zdravstvo sa servisima koje pružaju ostali resori (socijalna zaštita, pravosuđe, obrazovanje), kao i saradnju sa udruženjima korisnika i njihovih porodica.</w:t>
                            </w:r>
                          </w:p>
                          <w:p w:rsidR="00F67406" w:rsidRDefault="00F67406" w:rsidP="00D32E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1" style="position:absolute;left:0;text-align:left;margin-left:-5.75pt;margin-top:440.85pt;width:459.8pt;height:33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" fillcolor="window" strokecolor="#4f81bd" strokeweight="2pt">
                <v:textbox>
                  <w:txbxContent>
                    <w:p w:rsidR="00D32E1B" w:rsidRPr="00B52F15" w:rsidRDefault="00D32E1B" w:rsidP="00D32E1B">
                      <w:pPr>
                        <w:jc w:val="both"/>
                        <w:rPr>
                          <w:sz w:val="22"/>
                        </w:rPr>
                      </w:pPr>
                      <w:r w:rsidRPr="00B52F15">
                        <w:rPr>
                          <w:sz w:val="22"/>
                        </w:rPr>
                        <w:t>Ishod reforme se ogleda u sl</w:t>
                      </w:r>
                      <w:r w:rsidRPr="00B52F15">
                        <w:rPr>
                          <w:sz w:val="22"/>
                          <w:lang w:val="sr-Latn-ME"/>
                        </w:rPr>
                        <w:t>j</w:t>
                      </w:r>
                      <w:r w:rsidRPr="00B52F15">
                        <w:rPr>
                          <w:sz w:val="22"/>
                        </w:rPr>
                        <w:t>edećem:</w:t>
                      </w:r>
                    </w:p>
                    <w:p w:rsidR="00D32E1B" w:rsidRPr="00B52F15" w:rsidRDefault="00D32E1B" w:rsidP="00D32E1B">
                      <w:pPr>
                        <w:pStyle w:val="ListParagraph"/>
                        <w:numPr>
                          <w:ilvl w:val="0"/>
                          <w:numId w:val="7"/>
                        </w:numPr>
                        <w:jc w:val="both"/>
                        <w:rPr>
                          <w:sz w:val="22"/>
                        </w:rPr>
                      </w:pPr>
                      <w:r w:rsidRPr="00B52F15">
                        <w:rPr>
                          <w:b/>
                          <w:sz w:val="22"/>
                        </w:rPr>
                        <w:t>Zatvaranje svih psihijatrijskih bolnica</w:t>
                      </w:r>
                      <w:r w:rsidRPr="00B52F15">
                        <w:rPr>
                          <w:sz w:val="22"/>
                        </w:rPr>
                        <w:t>, kroz individualne planove za deinstitucionalizaciju i prenam</w:t>
                      </w:r>
                      <w:r w:rsidRPr="00B52F15">
                        <w:rPr>
                          <w:sz w:val="22"/>
                          <w:lang w:val="sr-Latn-ME"/>
                        </w:rPr>
                        <w:t>j</w:t>
                      </w:r>
                      <w:r w:rsidRPr="00B52F15">
                        <w:rPr>
                          <w:sz w:val="22"/>
                        </w:rPr>
                        <w:t>enu postojećih objekata (najčešće za potrebe opšte zdravstvene zaštite);</w:t>
                      </w:r>
                    </w:p>
                    <w:p w:rsidR="00D32E1B" w:rsidRPr="00B52F15" w:rsidRDefault="00D32E1B" w:rsidP="00D32E1B">
                      <w:pPr>
                        <w:pStyle w:val="ListParagraph"/>
                        <w:numPr>
                          <w:ilvl w:val="0"/>
                          <w:numId w:val="7"/>
                        </w:numPr>
                        <w:jc w:val="both"/>
                        <w:rPr>
                          <w:sz w:val="22"/>
                        </w:rPr>
                      </w:pPr>
                      <w:r w:rsidRPr="00B52F15">
                        <w:rPr>
                          <w:b/>
                          <w:sz w:val="22"/>
                        </w:rPr>
                        <w:t xml:space="preserve">Stvaranje nove mreže specijalnizovanih usluga za mentalno zdravlje </w:t>
                      </w:r>
                      <w:r w:rsidRPr="00B52F15">
                        <w:rPr>
                          <w:sz w:val="22"/>
                        </w:rPr>
                        <w:t>koje se pružaju u zajednici i integrisane su u opšti zdravstveni sistem. Ova mreža organizovana je po sektorima, takozvanim „oblastima mentalnog zdravlja“ i uključuje: timove za mentalno zdravlje u zajednici koji rade tijesno povezani sa primarnom zdravstvenom zaštitom; bolnička od</w:t>
                      </w:r>
                      <w:r w:rsidRPr="00B52F15">
                        <w:rPr>
                          <w:sz w:val="22"/>
                          <w:lang w:val="sr-Latn-ME"/>
                        </w:rPr>
                        <w:t>j</w:t>
                      </w:r>
                      <w:r w:rsidRPr="00B52F15">
                        <w:rPr>
                          <w:sz w:val="22"/>
                        </w:rPr>
                        <w:t>eljenja u opštim bolnicama, centre za vanbolničko l</w:t>
                      </w:r>
                      <w:r w:rsidRPr="00B52F15">
                        <w:rPr>
                          <w:sz w:val="22"/>
                          <w:lang w:val="sr-Latn-ME"/>
                        </w:rPr>
                        <w:t>ij</w:t>
                      </w:r>
                      <w:r w:rsidRPr="00B52F15">
                        <w:rPr>
                          <w:sz w:val="22"/>
                        </w:rPr>
                        <w:t>ečenje d</w:t>
                      </w:r>
                      <w:r w:rsidRPr="00B52F15">
                        <w:rPr>
                          <w:sz w:val="22"/>
                          <w:lang w:val="sr-Latn-ME"/>
                        </w:rPr>
                        <w:t>j</w:t>
                      </w:r>
                      <w:r w:rsidRPr="00B52F15">
                        <w:rPr>
                          <w:sz w:val="22"/>
                        </w:rPr>
                        <w:t>ece sa problemima mentalnog zdravlja, dnevne centre, centre za rehabilitaciju i terapijske zajednice (centri za tretman pacijenata kojima je na duži period potrebno stru</w:t>
                      </w:r>
                      <w:r w:rsidR="00B52F15">
                        <w:rPr>
                          <w:sz w:val="22"/>
                        </w:rPr>
                        <w:t>kturirano terapijsko okruženje)</w:t>
                      </w:r>
                      <w:r w:rsidR="00B52F15">
                        <w:rPr>
                          <w:sz w:val="22"/>
                          <w:lang w:val="sr-Latn-ME"/>
                        </w:rPr>
                        <w:t>;</w:t>
                      </w:r>
                    </w:p>
                    <w:p w:rsidR="00D32E1B" w:rsidRPr="00B52F15" w:rsidRDefault="00D32E1B" w:rsidP="00D32E1B">
                      <w:pPr>
                        <w:pStyle w:val="ListParagraph"/>
                        <w:numPr>
                          <w:ilvl w:val="0"/>
                          <w:numId w:val="7"/>
                        </w:numPr>
                        <w:jc w:val="both"/>
                        <w:rPr>
                          <w:sz w:val="22"/>
                        </w:rPr>
                      </w:pPr>
                      <w:r w:rsidRPr="00B52F15">
                        <w:rPr>
                          <w:sz w:val="22"/>
                        </w:rPr>
                        <w:t xml:space="preserve">Stvaranje nove državne organizacije, Andaluzijska </w:t>
                      </w:r>
                      <w:r w:rsidRPr="00B52F15">
                        <w:rPr>
                          <w:b/>
                          <w:sz w:val="22"/>
                        </w:rPr>
                        <w:t xml:space="preserve">Fondacija za socijalnu integraciju osoba sa mentalnim </w:t>
                      </w:r>
                      <w:r w:rsidRPr="00B52F15">
                        <w:rPr>
                          <w:b/>
                          <w:sz w:val="22"/>
                          <w:lang w:val="sr-Latn-ME"/>
                        </w:rPr>
                        <w:t>smetnjama</w:t>
                      </w:r>
                      <w:r w:rsidRPr="00B52F15">
                        <w:rPr>
                          <w:b/>
                          <w:sz w:val="22"/>
                        </w:rPr>
                        <w:t xml:space="preserve"> (</w:t>
                      </w:r>
                      <w:r w:rsidRPr="00B52F15">
                        <w:rPr>
                          <w:sz w:val="22"/>
                        </w:rPr>
                        <w:t>FAISEM), koja upravlja mrežom socijalnih usluga. Ova mreža uključuje rezidencijalne, okupa</w:t>
                      </w:r>
                      <w:r w:rsidR="00B52F15">
                        <w:rPr>
                          <w:sz w:val="22"/>
                        </w:rPr>
                        <w:t>cione i radne centre i programe</w:t>
                      </w:r>
                      <w:r w:rsidR="00B52F15">
                        <w:rPr>
                          <w:sz w:val="22"/>
                          <w:lang w:val="sr-Latn-ME"/>
                        </w:rPr>
                        <w:t>;</w:t>
                      </w:r>
                    </w:p>
                    <w:p w:rsidR="00D32E1B" w:rsidRPr="00B52F15" w:rsidRDefault="00D32E1B" w:rsidP="00D32E1B">
                      <w:pPr>
                        <w:pStyle w:val="ListParagraph"/>
                        <w:numPr>
                          <w:ilvl w:val="0"/>
                          <w:numId w:val="7"/>
                        </w:numPr>
                        <w:jc w:val="both"/>
                        <w:rPr>
                          <w:sz w:val="22"/>
                        </w:rPr>
                      </w:pPr>
                      <w:r w:rsidRPr="00B52F15">
                        <w:rPr>
                          <w:sz w:val="22"/>
                        </w:rPr>
                        <w:t xml:space="preserve">Formulisanje </w:t>
                      </w:r>
                      <w:r w:rsidRPr="00B52F15">
                        <w:rPr>
                          <w:b/>
                          <w:sz w:val="22"/>
                        </w:rPr>
                        <w:t>intersektorske strategije</w:t>
                      </w:r>
                      <w:r w:rsidRPr="00B52F15">
                        <w:rPr>
                          <w:sz w:val="22"/>
                        </w:rPr>
                        <w:t xml:space="preserve"> koja promoviše saradnju sektora za zdravstvo sa servisima koje pružaju ostali resori (socijalna zaštita, pravosuđe, obrazovanje), kao i saradnju sa udruženjima korisnika i njihovih porodica.</w:t>
                      </w:r>
                    </w:p>
                    <w:p w:rsidR="00D32E1B" w:rsidRDefault="00D32E1B" w:rsidP="00D32E1B">
                      <w:pPr>
                        <w:jc w:val="center"/>
                      </w:pPr>
                    </w:p>
                  </w:txbxContent>
                </v:textbox>
                <w10:wrap anchory="page"/>
              </v:roundrect>
            </w:pict>
          </mc:Fallback>
        </mc:AlternateContent>
      </w:r>
    </w:p>
    <w:p w:rsidR="00A60DB5" w:rsidRPr="00C00F2A" w:rsidRDefault="00A60DB5" w:rsidP="00397404">
      <w:pPr>
        <w:rPr>
          <w:sz w:val="22"/>
          <w:szCs w:val="22"/>
        </w:rPr>
      </w:pPr>
    </w:p>
    <w:p w:rsidR="00A60DB5" w:rsidRPr="00C00F2A" w:rsidRDefault="00A60DB5" w:rsidP="00397404">
      <w:pPr>
        <w:rPr>
          <w:sz w:val="22"/>
          <w:szCs w:val="22"/>
        </w:rPr>
      </w:pPr>
    </w:p>
    <w:p w:rsidR="00A60DB5" w:rsidRPr="00C00F2A" w:rsidRDefault="00A60DB5" w:rsidP="00397404">
      <w:pPr>
        <w:rPr>
          <w:sz w:val="22"/>
          <w:szCs w:val="22"/>
        </w:rPr>
      </w:pPr>
    </w:p>
    <w:p w:rsidR="00A60DB5" w:rsidRPr="00C00F2A" w:rsidRDefault="00A60DB5" w:rsidP="00397404">
      <w:pPr>
        <w:rPr>
          <w:sz w:val="22"/>
          <w:szCs w:val="22"/>
        </w:rPr>
      </w:pPr>
    </w:p>
    <w:p w:rsidR="00A60DB5" w:rsidRPr="00C00F2A" w:rsidRDefault="00A60DB5" w:rsidP="00397404">
      <w:pPr>
        <w:rPr>
          <w:sz w:val="22"/>
          <w:szCs w:val="22"/>
        </w:rPr>
      </w:pPr>
    </w:p>
    <w:p w:rsidR="00A60DB5" w:rsidRPr="00C00F2A" w:rsidRDefault="00A60DB5" w:rsidP="00397404">
      <w:pPr>
        <w:rPr>
          <w:sz w:val="22"/>
          <w:szCs w:val="22"/>
        </w:rPr>
      </w:pPr>
    </w:p>
    <w:p w:rsidR="00A60DB5" w:rsidRPr="00C00F2A" w:rsidRDefault="00A60DB5" w:rsidP="00397404">
      <w:pPr>
        <w:rPr>
          <w:sz w:val="22"/>
          <w:szCs w:val="22"/>
        </w:rPr>
      </w:pPr>
    </w:p>
    <w:p w:rsidR="00A60DB5" w:rsidRPr="00C00F2A" w:rsidRDefault="00A60DB5" w:rsidP="00397404">
      <w:pPr>
        <w:rPr>
          <w:sz w:val="22"/>
          <w:szCs w:val="22"/>
        </w:rPr>
      </w:pPr>
    </w:p>
    <w:p w:rsidR="00A60DB5" w:rsidRPr="00C00F2A" w:rsidRDefault="00A60DB5" w:rsidP="00397404">
      <w:pPr>
        <w:rPr>
          <w:sz w:val="22"/>
          <w:szCs w:val="22"/>
        </w:rPr>
      </w:pPr>
    </w:p>
    <w:p w:rsidR="00313065" w:rsidRPr="00C00F2A" w:rsidRDefault="00496147" w:rsidP="00964CB6">
      <w:pPr>
        <w:jc w:val="both"/>
        <w:rPr>
          <w:sz w:val="22"/>
          <w:szCs w:val="22"/>
        </w:rPr>
      </w:pPr>
      <w:r w:rsidRPr="00C00F2A">
        <w:rPr>
          <w:sz w:val="22"/>
          <w:szCs w:val="22"/>
        </w:rPr>
        <w:lastRenderedPageBreak/>
        <w:t>U ovom trenutk</w:t>
      </w:r>
      <w:r w:rsidR="002027F7" w:rsidRPr="00C00F2A">
        <w:rPr>
          <w:sz w:val="22"/>
          <w:szCs w:val="22"/>
        </w:rPr>
        <w:t>u, Fondacija pruža podršku u stanovanju za preko 2000 korisnika, okupacione aktivnosti za više od 2500 korisnika, usluge profesionalnog osposobljavanja za 200 korisnika svake godine, zapošljavanje u socijalnim preduze</w:t>
      </w:r>
      <w:r w:rsidR="00CF583E" w:rsidRPr="00C00F2A">
        <w:rPr>
          <w:sz w:val="22"/>
          <w:szCs w:val="22"/>
        </w:rPr>
        <w:t>ć</w:t>
      </w:r>
      <w:r w:rsidR="002027F7" w:rsidRPr="00C00F2A">
        <w:rPr>
          <w:sz w:val="22"/>
          <w:szCs w:val="22"/>
        </w:rPr>
        <w:t xml:space="preserve">ima za oko 300 osoba sa mentalnim </w:t>
      </w:r>
      <w:r w:rsidR="004B0B15" w:rsidRPr="00C00F2A">
        <w:rPr>
          <w:sz w:val="22"/>
          <w:szCs w:val="22"/>
        </w:rPr>
        <w:t>smetnjam</w:t>
      </w:r>
      <w:r w:rsidR="002027F7" w:rsidRPr="00C00F2A">
        <w:rPr>
          <w:sz w:val="22"/>
          <w:szCs w:val="22"/>
        </w:rPr>
        <w:t>a i razvoj mnogih drugih aktivnosti (podrška u zapošljavanju, društveni klubovi, podrška za korisnička i porodična udruženja i istraživanja, između ostalog). Pristup uslugama koje Fondacija pruža se uv</w:t>
      </w:r>
      <w:r w:rsidR="00566813" w:rsidRPr="00C00F2A">
        <w:rPr>
          <w:sz w:val="22"/>
          <w:szCs w:val="22"/>
        </w:rPr>
        <w:t>ij</w:t>
      </w:r>
      <w:r w:rsidR="002027F7" w:rsidRPr="00C00F2A">
        <w:rPr>
          <w:sz w:val="22"/>
          <w:szCs w:val="22"/>
        </w:rPr>
        <w:t>ek obezb</w:t>
      </w:r>
      <w:r w:rsidR="00566813" w:rsidRPr="00C00F2A">
        <w:rPr>
          <w:sz w:val="22"/>
          <w:szCs w:val="22"/>
        </w:rPr>
        <w:t>j</w:t>
      </w:r>
      <w:r w:rsidR="002027F7" w:rsidRPr="00C00F2A">
        <w:rPr>
          <w:sz w:val="22"/>
          <w:szCs w:val="22"/>
        </w:rPr>
        <w:t>eđuje uz koordinaciju sa službama za mentalno zdravlje kroz koordinaciona t</w:t>
      </w:r>
      <w:r w:rsidR="00566813" w:rsidRPr="00C00F2A">
        <w:rPr>
          <w:sz w:val="22"/>
          <w:szCs w:val="22"/>
        </w:rPr>
        <w:t>ij</w:t>
      </w:r>
      <w:r w:rsidR="002027F7" w:rsidRPr="00C00F2A">
        <w:rPr>
          <w:sz w:val="22"/>
          <w:szCs w:val="22"/>
        </w:rPr>
        <w:t>ela za svaku teritoriju</w:t>
      </w:r>
      <w:r w:rsidR="00397404" w:rsidRPr="00C00F2A">
        <w:rPr>
          <w:sz w:val="22"/>
          <w:szCs w:val="22"/>
        </w:rPr>
        <w:t>,</w:t>
      </w:r>
      <w:r w:rsidR="00784652" w:rsidRPr="00C00F2A">
        <w:rPr>
          <w:sz w:val="22"/>
          <w:szCs w:val="22"/>
        </w:rPr>
        <w:t xml:space="preserve"> uključujući takođe opšte socijalne službe na toj teritoriji </w:t>
      </w:r>
      <w:r w:rsidR="00397404" w:rsidRPr="00C00F2A">
        <w:rPr>
          <w:sz w:val="22"/>
          <w:szCs w:val="22"/>
        </w:rPr>
        <w:t>(Caldas de Almeida &amp; Torres, 2005).</w:t>
      </w:r>
    </w:p>
    <w:p w:rsidR="00CE16F5" w:rsidRPr="00E00D1D" w:rsidRDefault="00CE16F5" w:rsidP="00397404">
      <w:pPr>
        <w:rPr>
          <w:sz w:val="6"/>
          <w:szCs w:val="6"/>
        </w:rPr>
      </w:pPr>
    </w:p>
    <w:p w:rsidR="00F364C0" w:rsidRPr="00C00F2A" w:rsidRDefault="00F364C0" w:rsidP="0088188D">
      <w:pPr>
        <w:pStyle w:val="Heading5"/>
      </w:pPr>
      <w:r w:rsidRPr="00C00F2A">
        <w:t>Francuska</w:t>
      </w:r>
    </w:p>
    <w:p w:rsidR="001A3036" w:rsidRPr="00C00F2A" w:rsidRDefault="000A1A92" w:rsidP="00964CB6">
      <w:pPr>
        <w:jc w:val="both"/>
        <w:rPr>
          <w:sz w:val="22"/>
          <w:szCs w:val="22"/>
        </w:rPr>
      </w:pPr>
      <w:r w:rsidRPr="00C00F2A">
        <w:rPr>
          <w:noProof/>
          <w:sz w:val="22"/>
          <w:szCs w:val="22"/>
          <w:lang w:val="en-US"/>
        </w:rPr>
        <mc:AlternateContent>
          <mc:Choice Requires="wps">
            <w:drawing>
              <wp:anchor distT="0" distB="0" distL="114300" distR="114300" simplePos="0" relativeHeight="251689984" behindDoc="0" locked="0" layoutInCell="1" allowOverlap="1" wp14:anchorId="5226AC21" wp14:editId="30A65F95">
                <wp:simplePos x="0" y="0"/>
                <wp:positionH relativeFrom="column">
                  <wp:posOffset>-20955</wp:posOffset>
                </wp:positionH>
                <wp:positionV relativeFrom="paragraph">
                  <wp:posOffset>800735</wp:posOffset>
                </wp:positionV>
                <wp:extent cx="5879465" cy="706755"/>
                <wp:effectExtent l="0" t="0" r="26035" b="17145"/>
                <wp:wrapTopAndBottom/>
                <wp:docPr id="4" name="Rounded Rectangle 4"/>
                <wp:cNvGraphicFramePr/>
                <a:graphic xmlns:a="http://schemas.openxmlformats.org/drawingml/2006/main">
                  <a:graphicData uri="http://schemas.microsoft.com/office/word/2010/wordprocessingShape">
                    <wps:wsp>
                      <wps:cNvSpPr/>
                      <wps:spPr>
                        <a:xfrm>
                          <a:off x="0" y="0"/>
                          <a:ext cx="5879465" cy="70675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F67406" w:rsidRPr="00D32E1B" w:rsidRDefault="00F67406" w:rsidP="005F3A12">
                            <w:pPr>
                              <w:jc w:val="center"/>
                              <w:rPr>
                                <w:b/>
                                <w:sz w:val="22"/>
                              </w:rPr>
                            </w:pPr>
                            <w:r w:rsidRPr="00D32E1B">
                              <w:rPr>
                                <w:b/>
                                <w:sz w:val="22"/>
                              </w:rPr>
                              <w:t>Pristupačnost, kontinuitet podrške i međuresorna saradnja su osnovne karakteristike ovog sistema.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32" style="position:absolute;left:0;text-align:left;margin-left:-1.65pt;margin-top:63.05pt;width:462.95pt;height:55.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" fillcolor="white [3201]" strokecolor="#4f81bd [3204]" strokeweight="2pt">
                <v:textbox>
                  <w:txbxContent>
                    <w:p w:rsidR="009B6FB5" w:rsidRPr="00D32E1B" w:rsidRDefault="009B6FB5" w:rsidP="005F3A12">
                      <w:pPr>
                        <w:jc w:val="center"/>
                        <w:rPr>
                          <w:b/>
                          <w:sz w:val="22"/>
                        </w:rPr>
                      </w:pPr>
                      <w:r w:rsidRPr="00D32E1B">
                        <w:rPr>
                          <w:b/>
                          <w:sz w:val="22"/>
                        </w:rPr>
                        <w:t>Pristupačnost, kontinuitet podrške i međuresorna saradnja su osnovne karakteristike ovog sistema.</w:t>
                      </w:r>
                    </w:p>
                  </w:txbxContent>
                </v:textbox>
                <w10:wrap type="topAndBottom"/>
              </v:roundrect>
            </w:pict>
          </mc:Fallback>
        </mc:AlternateContent>
      </w:r>
      <w:r w:rsidR="001A3036" w:rsidRPr="00C00F2A">
        <w:rPr>
          <w:sz w:val="22"/>
          <w:szCs w:val="22"/>
        </w:rPr>
        <w:t>Prim</w:t>
      </w:r>
      <w:r w:rsidR="00566813" w:rsidRPr="00C00F2A">
        <w:rPr>
          <w:sz w:val="22"/>
          <w:szCs w:val="22"/>
        </w:rPr>
        <w:t>j</w:t>
      </w:r>
      <w:r w:rsidR="001A3036" w:rsidRPr="00C00F2A">
        <w:rPr>
          <w:sz w:val="22"/>
          <w:szCs w:val="22"/>
        </w:rPr>
        <w:t>er deinstitucionalizacije na lokalnom nivou dolazi iz Lila u Francuskoj i ukazuje na to koliki je značaj c</w:t>
      </w:r>
      <w:r w:rsidR="00566813" w:rsidRPr="00C00F2A">
        <w:rPr>
          <w:sz w:val="22"/>
          <w:szCs w:val="22"/>
        </w:rPr>
        <w:t>j</w:t>
      </w:r>
      <w:r w:rsidR="001A3036" w:rsidRPr="00C00F2A">
        <w:rPr>
          <w:sz w:val="22"/>
          <w:szCs w:val="22"/>
        </w:rPr>
        <w:t>elokupne lokalne zajednice za usp</w:t>
      </w:r>
      <w:r w:rsidR="00566813" w:rsidRPr="00C00F2A">
        <w:rPr>
          <w:sz w:val="22"/>
          <w:szCs w:val="22"/>
        </w:rPr>
        <w:t>j</w:t>
      </w:r>
      <w:r w:rsidR="001A3036" w:rsidRPr="00C00F2A">
        <w:rPr>
          <w:sz w:val="22"/>
          <w:szCs w:val="22"/>
        </w:rPr>
        <w:t xml:space="preserve">ešnost procesa deinstitucionalizacije. </w:t>
      </w:r>
    </w:p>
    <w:p w:rsidR="000A1A92" w:rsidRPr="00C00F2A" w:rsidRDefault="000A1A92" w:rsidP="004660E1">
      <w:pPr>
        <w:rPr>
          <w:sz w:val="22"/>
          <w:szCs w:val="22"/>
        </w:rPr>
      </w:pPr>
    </w:p>
    <w:p w:rsidR="00CA6299" w:rsidRPr="00C00F2A" w:rsidRDefault="001A3036" w:rsidP="00153C35">
      <w:pPr>
        <w:jc w:val="both"/>
        <w:rPr>
          <w:sz w:val="22"/>
          <w:szCs w:val="22"/>
        </w:rPr>
      </w:pPr>
      <w:r w:rsidRPr="00C00F2A">
        <w:rPr>
          <w:sz w:val="22"/>
          <w:szCs w:val="22"/>
        </w:rPr>
        <w:t>Reforma usm</w:t>
      </w:r>
      <w:r w:rsidR="00566813" w:rsidRPr="00C00F2A">
        <w:rPr>
          <w:sz w:val="22"/>
          <w:szCs w:val="22"/>
        </w:rPr>
        <w:t>j</w:t>
      </w:r>
      <w:r w:rsidRPr="00C00F2A">
        <w:rPr>
          <w:sz w:val="22"/>
          <w:szCs w:val="22"/>
        </w:rPr>
        <w:t>erena na deinstitucionalizaciju i razvoj službi podrške u zajednici</w:t>
      </w:r>
      <w:r w:rsidR="00566813" w:rsidRPr="00C00F2A">
        <w:rPr>
          <w:sz w:val="22"/>
          <w:szCs w:val="22"/>
        </w:rPr>
        <w:t>,</w:t>
      </w:r>
      <w:r w:rsidRPr="00C00F2A">
        <w:rPr>
          <w:sz w:val="22"/>
          <w:szCs w:val="22"/>
        </w:rPr>
        <w:t xml:space="preserve"> zasnovana je na principima sektorske psihijatrije, gd</w:t>
      </w:r>
      <w:r w:rsidR="00566813" w:rsidRPr="00C00F2A">
        <w:rPr>
          <w:sz w:val="22"/>
          <w:szCs w:val="22"/>
        </w:rPr>
        <w:t>j</w:t>
      </w:r>
      <w:r w:rsidRPr="00C00F2A">
        <w:rPr>
          <w:sz w:val="22"/>
          <w:szCs w:val="22"/>
        </w:rPr>
        <w:t>e svaki „sekt</w:t>
      </w:r>
      <w:r w:rsidR="005A539F" w:rsidRPr="00C00F2A">
        <w:rPr>
          <w:sz w:val="22"/>
          <w:szCs w:val="22"/>
        </w:rPr>
        <w:t>or“ pokriva populaciju od oko 54</w:t>
      </w:r>
      <w:r w:rsidRPr="00C00F2A">
        <w:rPr>
          <w:sz w:val="22"/>
          <w:szCs w:val="22"/>
        </w:rPr>
        <w:t>,000 građana. Proces deinstitucionalizacije u Lilu je započet sedamsedetih godina, iniciran od strane psihijatrijske bolnice i neprofitne Medicinske psiho-socijalne asocijacije, uz uključivanje članova lokalne samouprave, profesionalaca u oblasti mentalnog zdravlja, socijalnih radnika, korisnika i predstavnika osoblja službi podrške.</w:t>
      </w:r>
    </w:p>
    <w:p w:rsidR="004660E1" w:rsidRPr="00C00F2A" w:rsidRDefault="001A3036" w:rsidP="00153C35">
      <w:pPr>
        <w:jc w:val="both"/>
        <w:rPr>
          <w:sz w:val="22"/>
          <w:szCs w:val="22"/>
        </w:rPr>
      </w:pPr>
      <w:r w:rsidRPr="00C00F2A">
        <w:rPr>
          <w:sz w:val="22"/>
          <w:szCs w:val="22"/>
        </w:rPr>
        <w:t>Na samom početku, kreirani su medicinsko-psihološki centar i centar za stanovanje i deinstitucionalizaciju</w:t>
      </w:r>
      <w:r w:rsidR="006A4610" w:rsidRPr="00C00F2A">
        <w:rPr>
          <w:sz w:val="22"/>
          <w:szCs w:val="22"/>
        </w:rPr>
        <w:t>, specijalizovani za rehabilitaciju hroničnih, dugotrajno ins</w:t>
      </w:r>
      <w:r w:rsidR="00566813" w:rsidRPr="00C00F2A">
        <w:rPr>
          <w:sz w:val="22"/>
          <w:szCs w:val="22"/>
        </w:rPr>
        <w:t xml:space="preserve">titucionalizovanih pacijenata. </w:t>
      </w:r>
      <w:r w:rsidR="006A4610" w:rsidRPr="00C00F2A">
        <w:rPr>
          <w:sz w:val="22"/>
          <w:szCs w:val="22"/>
        </w:rPr>
        <w:t>Nakon toga, inicirana je saradnja sa lokalnim samoupravama i konakti sa upraviteljima socijalnih stanova</w:t>
      </w:r>
      <w:r w:rsidR="00566813" w:rsidRPr="00C00F2A">
        <w:rPr>
          <w:sz w:val="22"/>
          <w:szCs w:val="22"/>
        </w:rPr>
        <w:t>,</w:t>
      </w:r>
      <w:r w:rsidR="006A4610" w:rsidRPr="00C00F2A">
        <w:rPr>
          <w:sz w:val="22"/>
          <w:szCs w:val="22"/>
        </w:rPr>
        <w:t xml:space="preserve"> radi uspostavljanja zajedničkih i „terapeutskih“ stanova, a zatim i radi pristupa podršci i stambenim jedinicama raspoređenim svuda u zajednici</w:t>
      </w:r>
      <w:r w:rsidR="004660E1" w:rsidRPr="00C00F2A">
        <w:rPr>
          <w:sz w:val="22"/>
          <w:szCs w:val="22"/>
        </w:rPr>
        <w:t xml:space="preserve">. </w:t>
      </w:r>
      <w:r w:rsidR="006A4610" w:rsidRPr="00C00F2A">
        <w:rPr>
          <w:sz w:val="22"/>
          <w:szCs w:val="22"/>
        </w:rPr>
        <w:t>Započeti su programi u oblasti zastupanja, borbe protiv stigme, istraživanja u svrhu izrade strategija i razvoja servisa i program psiho-socijalne rehabilitacije.</w:t>
      </w:r>
    </w:p>
    <w:p w:rsidR="00F364C0" w:rsidRPr="00C00F2A" w:rsidRDefault="006A4610" w:rsidP="00153C35">
      <w:pPr>
        <w:jc w:val="both"/>
        <w:rPr>
          <w:sz w:val="22"/>
          <w:szCs w:val="22"/>
        </w:rPr>
      </w:pPr>
      <w:r w:rsidRPr="00C00F2A">
        <w:rPr>
          <w:sz w:val="22"/>
          <w:szCs w:val="22"/>
        </w:rPr>
        <w:t>Reforma je sprovedena u dva ključna koraka. Prvi korak (1975-1995) bilo je prem</w:t>
      </w:r>
      <w:r w:rsidR="00AC5CC4" w:rsidRPr="00C00F2A">
        <w:rPr>
          <w:sz w:val="22"/>
          <w:szCs w:val="22"/>
        </w:rPr>
        <w:t>j</w:t>
      </w:r>
      <w:r w:rsidRPr="00C00F2A">
        <w:rPr>
          <w:sz w:val="22"/>
          <w:szCs w:val="22"/>
        </w:rPr>
        <w:t xml:space="preserve">eštanje iz psihijatrijske bolnice u zajednicu, kroz razvoj sektorizacije, uz podršku državnog (centralnog) budžeta. Drugi korak (1995-2006) sastojao se od decentralizacije i otvaranja </w:t>
      </w:r>
      <w:r w:rsidR="008420D4" w:rsidRPr="00C00F2A">
        <w:rPr>
          <w:sz w:val="22"/>
          <w:szCs w:val="22"/>
        </w:rPr>
        <w:t xml:space="preserve">psihijatrijskih službi uključivanjem profesionalaca u zdravstvene, socijalne i kulturne usluge na lokalnom nivou. Ova integracija podstakla je participaciju ostalih interesnih grupa (korisnika, porodica, profesionalaca i izabranih predstavnika) u donošenju odluka koje se tiču psihijatrijske zdravstvene zaštite. </w:t>
      </w:r>
    </w:p>
    <w:p w:rsidR="004660E1" w:rsidRPr="00C00F2A" w:rsidRDefault="00A1645C" w:rsidP="00153C35">
      <w:pPr>
        <w:jc w:val="both"/>
        <w:rPr>
          <w:sz w:val="22"/>
          <w:szCs w:val="22"/>
        </w:rPr>
      </w:pPr>
      <w:r w:rsidRPr="00C00F2A">
        <w:rPr>
          <w:sz w:val="22"/>
          <w:szCs w:val="22"/>
        </w:rPr>
        <w:lastRenderedPageBreak/>
        <w:t>Osobu</w:t>
      </w:r>
      <w:r w:rsidR="00AC5CC4" w:rsidRPr="00C00F2A">
        <w:rPr>
          <w:sz w:val="22"/>
          <w:szCs w:val="22"/>
        </w:rPr>
        <w:t>,</w:t>
      </w:r>
      <w:r w:rsidRPr="00C00F2A">
        <w:rPr>
          <w:sz w:val="22"/>
          <w:szCs w:val="22"/>
        </w:rPr>
        <w:t xml:space="preserve"> nakon upućivanja od strane l</w:t>
      </w:r>
      <w:r w:rsidR="00AC5CC4" w:rsidRPr="00C00F2A">
        <w:rPr>
          <w:sz w:val="22"/>
          <w:szCs w:val="22"/>
        </w:rPr>
        <w:t>j</w:t>
      </w:r>
      <w:r w:rsidRPr="00C00F2A">
        <w:rPr>
          <w:sz w:val="22"/>
          <w:szCs w:val="22"/>
        </w:rPr>
        <w:t>ek</w:t>
      </w:r>
      <w:r w:rsidR="00496147" w:rsidRPr="00C00F2A">
        <w:rPr>
          <w:sz w:val="22"/>
          <w:szCs w:val="22"/>
        </w:rPr>
        <w:t>a</w:t>
      </w:r>
      <w:r w:rsidRPr="00C00F2A">
        <w:rPr>
          <w:sz w:val="22"/>
          <w:szCs w:val="22"/>
        </w:rPr>
        <w:t>ra opšte prakse</w:t>
      </w:r>
      <w:r w:rsidR="00AC5CC4" w:rsidRPr="00C00F2A">
        <w:rPr>
          <w:sz w:val="22"/>
          <w:szCs w:val="22"/>
        </w:rPr>
        <w:t>,</w:t>
      </w:r>
      <w:r w:rsidRPr="00C00F2A">
        <w:rPr>
          <w:sz w:val="22"/>
          <w:szCs w:val="22"/>
        </w:rPr>
        <w:t xml:space="preserve"> pregleda stručni radnik zadužen za taj sektor</w:t>
      </w:r>
      <w:r w:rsidR="00AC5CC4" w:rsidRPr="00C00F2A">
        <w:rPr>
          <w:sz w:val="22"/>
          <w:szCs w:val="22"/>
        </w:rPr>
        <w:t>,</w:t>
      </w:r>
      <w:r w:rsidRPr="00C00F2A">
        <w:rPr>
          <w:sz w:val="22"/>
          <w:szCs w:val="22"/>
        </w:rPr>
        <w:t xml:space="preserve"> koji pravi proc</w:t>
      </w:r>
      <w:r w:rsidR="00AC5CC4" w:rsidRPr="00C00F2A">
        <w:rPr>
          <w:sz w:val="22"/>
          <w:szCs w:val="22"/>
        </w:rPr>
        <w:t>j</w:t>
      </w:r>
      <w:r w:rsidRPr="00C00F2A">
        <w:rPr>
          <w:sz w:val="22"/>
          <w:szCs w:val="22"/>
        </w:rPr>
        <w:t>enu situacije za manje od 24 sata. Po potrebi, osoba se istog dana upućuje psihijatru</w:t>
      </w:r>
      <w:r w:rsidR="00EE6B5C" w:rsidRPr="00C00F2A">
        <w:rPr>
          <w:sz w:val="22"/>
          <w:szCs w:val="22"/>
        </w:rPr>
        <w:t xml:space="preserve">. Timovi raspoređeni na više različitih lokacija u zajednici pružaju vanbolnički tretman. </w:t>
      </w:r>
    </w:p>
    <w:p w:rsidR="004660E1" w:rsidRPr="00C00F2A" w:rsidRDefault="00EE6B5C" w:rsidP="00153C35">
      <w:pPr>
        <w:jc w:val="both"/>
        <w:rPr>
          <w:sz w:val="22"/>
          <w:szCs w:val="22"/>
        </w:rPr>
      </w:pPr>
      <w:r w:rsidRPr="00C00F2A">
        <w:rPr>
          <w:sz w:val="22"/>
          <w:szCs w:val="22"/>
        </w:rPr>
        <w:t>Kao alternativa hospitalizac</w:t>
      </w:r>
      <w:r w:rsidR="002513D0" w:rsidRPr="00C00F2A">
        <w:rPr>
          <w:sz w:val="22"/>
          <w:szCs w:val="22"/>
        </w:rPr>
        <w:t xml:space="preserve">iji, 2000. godine uspostavljen </w:t>
      </w:r>
      <w:r w:rsidRPr="00C00F2A">
        <w:rPr>
          <w:sz w:val="22"/>
          <w:szCs w:val="22"/>
        </w:rPr>
        <w:t>je smeštaj kod „terapijskih“ porodica i trenutno je na raspolaganju 12 m</w:t>
      </w:r>
      <w:r w:rsidR="002513D0" w:rsidRPr="00C00F2A">
        <w:rPr>
          <w:sz w:val="22"/>
          <w:szCs w:val="22"/>
        </w:rPr>
        <w:t>j</w:t>
      </w:r>
      <w:r w:rsidRPr="00C00F2A">
        <w:rPr>
          <w:sz w:val="22"/>
          <w:szCs w:val="22"/>
        </w:rPr>
        <w:t>esta, sa pros</w:t>
      </w:r>
      <w:r w:rsidR="002513D0" w:rsidRPr="00C00F2A">
        <w:rPr>
          <w:sz w:val="22"/>
          <w:szCs w:val="22"/>
        </w:rPr>
        <w:t>j</w:t>
      </w:r>
      <w:r w:rsidRPr="00C00F2A">
        <w:rPr>
          <w:sz w:val="22"/>
          <w:szCs w:val="22"/>
        </w:rPr>
        <w:t>ečnom dužinom boravka od 21 dan. Pacijenti u akutnom stanju se upućuju direktno na porodicu</w:t>
      </w:r>
      <w:r w:rsidR="002513D0" w:rsidRPr="00C00F2A">
        <w:rPr>
          <w:sz w:val="22"/>
          <w:szCs w:val="22"/>
        </w:rPr>
        <w:t>,</w:t>
      </w:r>
      <w:r w:rsidRPr="00C00F2A">
        <w:rPr>
          <w:sz w:val="22"/>
          <w:szCs w:val="22"/>
        </w:rPr>
        <w:t xml:space="preserve"> ili nakon kratkotrajne hospitalizacije. N</w:t>
      </w:r>
      <w:r w:rsidR="002513D0" w:rsidRPr="00C00F2A">
        <w:rPr>
          <w:sz w:val="22"/>
          <w:szCs w:val="22"/>
        </w:rPr>
        <w:t>j</w:t>
      </w:r>
      <w:r w:rsidRPr="00C00F2A">
        <w:rPr>
          <w:sz w:val="22"/>
          <w:szCs w:val="22"/>
        </w:rPr>
        <w:t>egovatelj/ic</w:t>
      </w:r>
      <w:r w:rsidR="002513D0" w:rsidRPr="00C00F2A">
        <w:rPr>
          <w:sz w:val="22"/>
          <w:szCs w:val="22"/>
        </w:rPr>
        <w:t>a i socijalni i medicinski tim s</w:t>
      </w:r>
      <w:r w:rsidRPr="00C00F2A">
        <w:rPr>
          <w:sz w:val="22"/>
          <w:szCs w:val="22"/>
        </w:rPr>
        <w:t>u odgovorni za zaštitu mentalnog zdravlja tokom kućnih pos</w:t>
      </w:r>
      <w:r w:rsidR="002513D0" w:rsidRPr="00C00F2A">
        <w:rPr>
          <w:sz w:val="22"/>
          <w:szCs w:val="22"/>
        </w:rPr>
        <w:t>j</w:t>
      </w:r>
      <w:r w:rsidRPr="00C00F2A">
        <w:rPr>
          <w:sz w:val="22"/>
          <w:szCs w:val="22"/>
        </w:rPr>
        <w:t>eta. Podrška j</w:t>
      </w:r>
      <w:r w:rsidR="000A1A92" w:rsidRPr="00C00F2A">
        <w:rPr>
          <w:sz w:val="22"/>
          <w:szCs w:val="22"/>
        </w:rPr>
        <w:t>e</w:t>
      </w:r>
      <w:r w:rsidRPr="00C00F2A">
        <w:rPr>
          <w:sz w:val="22"/>
          <w:szCs w:val="22"/>
        </w:rPr>
        <w:t xml:space="preserve"> slična onoj koja se nudi u okviru hospitalizacije u bolničkim uslovima</w:t>
      </w:r>
      <w:r w:rsidR="004660E1" w:rsidRPr="00C00F2A">
        <w:rPr>
          <w:sz w:val="22"/>
          <w:szCs w:val="22"/>
        </w:rPr>
        <w:t>.</w:t>
      </w:r>
    </w:p>
    <w:p w:rsidR="004660E1" w:rsidRPr="00C00F2A" w:rsidRDefault="00FD76F7" w:rsidP="00153C35">
      <w:pPr>
        <w:jc w:val="both"/>
        <w:rPr>
          <w:sz w:val="22"/>
          <w:szCs w:val="22"/>
        </w:rPr>
      </w:pPr>
      <w:r w:rsidRPr="00C00F2A">
        <w:rPr>
          <w:sz w:val="22"/>
          <w:szCs w:val="22"/>
        </w:rPr>
        <w:t>Kao druga alternativa hospitalizaciji oformljena je jedinica za intenzivnu n</w:t>
      </w:r>
      <w:r w:rsidR="002513D0" w:rsidRPr="00C00F2A">
        <w:rPr>
          <w:sz w:val="22"/>
          <w:szCs w:val="22"/>
        </w:rPr>
        <w:t>j</w:t>
      </w:r>
      <w:r w:rsidRPr="00C00F2A">
        <w:rPr>
          <w:sz w:val="22"/>
          <w:szCs w:val="22"/>
        </w:rPr>
        <w:t>egu sa maksimalnim kapacitetom za 10 korisnika. Ova usluga pruža se u korisnikovom domu</w:t>
      </w:r>
      <w:r w:rsidR="002513D0" w:rsidRPr="00C00F2A">
        <w:rPr>
          <w:sz w:val="22"/>
          <w:szCs w:val="22"/>
        </w:rPr>
        <w:t>,</w:t>
      </w:r>
      <w:r w:rsidRPr="00C00F2A">
        <w:rPr>
          <w:sz w:val="22"/>
          <w:szCs w:val="22"/>
        </w:rPr>
        <w:t xml:space="preserve"> kao nastavak nakon hitne intervencije, kako bi se garantovao kontinuitet podrške i </w:t>
      </w:r>
      <w:r w:rsidR="0000307A" w:rsidRPr="00C00F2A">
        <w:rPr>
          <w:sz w:val="22"/>
          <w:szCs w:val="22"/>
        </w:rPr>
        <w:t>l</w:t>
      </w:r>
      <w:r w:rsidR="002513D0" w:rsidRPr="00C00F2A">
        <w:rPr>
          <w:sz w:val="22"/>
          <w:szCs w:val="22"/>
        </w:rPr>
        <w:t>ij</w:t>
      </w:r>
      <w:r w:rsidR="0000307A" w:rsidRPr="00C00F2A">
        <w:rPr>
          <w:sz w:val="22"/>
          <w:szCs w:val="22"/>
        </w:rPr>
        <w:t xml:space="preserve">ečenja. </w:t>
      </w:r>
    </w:p>
    <w:p w:rsidR="008420D4" w:rsidRPr="00C00F2A" w:rsidRDefault="008420D4" w:rsidP="00153C35">
      <w:pPr>
        <w:jc w:val="both"/>
        <w:rPr>
          <w:sz w:val="22"/>
          <w:szCs w:val="22"/>
        </w:rPr>
      </w:pPr>
      <w:r w:rsidRPr="00C00F2A">
        <w:rPr>
          <w:sz w:val="22"/>
          <w:szCs w:val="22"/>
        </w:rPr>
        <w:t>Servisi i programi koji promovišu socijalnu inkluziju integrisani su u os</w:t>
      </w:r>
      <w:r w:rsidR="00A1645C" w:rsidRPr="00C00F2A">
        <w:rPr>
          <w:sz w:val="22"/>
          <w:szCs w:val="22"/>
        </w:rPr>
        <w:t>t</w:t>
      </w:r>
      <w:r w:rsidRPr="00C00F2A">
        <w:rPr>
          <w:sz w:val="22"/>
          <w:szCs w:val="22"/>
        </w:rPr>
        <w:t>ale službe u zajednici. Stanovi</w:t>
      </w:r>
      <w:r w:rsidR="007A3BDC" w:rsidRPr="00C00F2A">
        <w:rPr>
          <w:sz w:val="22"/>
          <w:szCs w:val="22"/>
        </w:rPr>
        <w:t>,</w:t>
      </w:r>
      <w:r w:rsidRPr="00C00F2A">
        <w:rPr>
          <w:sz w:val="22"/>
          <w:szCs w:val="22"/>
        </w:rPr>
        <w:t xml:space="preserve"> koji su raspoređeni širom naselja</w:t>
      </w:r>
      <w:r w:rsidR="007A3BDC" w:rsidRPr="00C00F2A">
        <w:rPr>
          <w:sz w:val="22"/>
          <w:szCs w:val="22"/>
        </w:rPr>
        <w:t>,</w:t>
      </w:r>
      <w:r w:rsidRPr="00C00F2A">
        <w:rPr>
          <w:sz w:val="22"/>
          <w:szCs w:val="22"/>
        </w:rPr>
        <w:t xml:space="preserve"> jedna je od osnovnih komponenti inkluzivnog pristupa. </w:t>
      </w:r>
      <w:r w:rsidR="00817B3C" w:rsidRPr="00C00F2A">
        <w:rPr>
          <w:sz w:val="22"/>
          <w:szCs w:val="22"/>
        </w:rPr>
        <w:t>Radi obezb</w:t>
      </w:r>
      <w:r w:rsidR="007A3BDC" w:rsidRPr="00C00F2A">
        <w:rPr>
          <w:sz w:val="22"/>
          <w:szCs w:val="22"/>
        </w:rPr>
        <w:t>j</w:t>
      </w:r>
      <w:r w:rsidR="00817B3C" w:rsidRPr="00C00F2A">
        <w:rPr>
          <w:sz w:val="22"/>
          <w:szCs w:val="22"/>
        </w:rPr>
        <w:t>eđivanja adekvatnih stambenih r</w:t>
      </w:r>
      <w:r w:rsidR="007A3BDC" w:rsidRPr="00C00F2A">
        <w:rPr>
          <w:sz w:val="22"/>
          <w:szCs w:val="22"/>
        </w:rPr>
        <w:t>j</w:t>
      </w:r>
      <w:r w:rsidR="00817B3C" w:rsidRPr="00C00F2A">
        <w:rPr>
          <w:sz w:val="22"/>
          <w:szCs w:val="22"/>
        </w:rPr>
        <w:t>ešenja</w:t>
      </w:r>
      <w:r w:rsidR="007A3BDC" w:rsidRPr="00C00F2A">
        <w:rPr>
          <w:sz w:val="22"/>
          <w:szCs w:val="22"/>
        </w:rPr>
        <w:t>,</w:t>
      </w:r>
      <w:r w:rsidR="00817B3C" w:rsidRPr="00C00F2A">
        <w:rPr>
          <w:sz w:val="22"/>
          <w:szCs w:val="22"/>
        </w:rPr>
        <w:t xml:space="preserve"> oformljen je „odbor za stanove“ koji odlučuje o dod</w:t>
      </w:r>
      <w:r w:rsidR="007A3BDC" w:rsidRPr="00C00F2A">
        <w:rPr>
          <w:sz w:val="22"/>
          <w:szCs w:val="22"/>
        </w:rPr>
        <w:t>j</w:t>
      </w:r>
      <w:r w:rsidR="00817B3C" w:rsidRPr="00C00F2A">
        <w:rPr>
          <w:sz w:val="22"/>
          <w:szCs w:val="22"/>
        </w:rPr>
        <w:t>eli stanova</w:t>
      </w:r>
      <w:r w:rsidR="007A3BDC" w:rsidRPr="00C00F2A">
        <w:rPr>
          <w:sz w:val="22"/>
          <w:szCs w:val="22"/>
        </w:rPr>
        <w:t>,</w:t>
      </w:r>
      <w:r w:rsidR="00817B3C" w:rsidRPr="00C00F2A">
        <w:rPr>
          <w:sz w:val="22"/>
          <w:szCs w:val="22"/>
        </w:rPr>
        <w:t xml:space="preserve"> koji se nalaze u javnoj ponudi. Trenutno, „odbor“ pruža podršku za 57 stanova u kojima se nalazi 95 osoba koje su prihvatile ugovor o socijalnoj inkluziji i podršci i koje su korisnici ovog metoda dod</w:t>
      </w:r>
      <w:r w:rsidR="007A3BDC" w:rsidRPr="00C00F2A">
        <w:rPr>
          <w:sz w:val="22"/>
          <w:szCs w:val="22"/>
        </w:rPr>
        <w:t>j</w:t>
      </w:r>
      <w:r w:rsidR="00817B3C" w:rsidRPr="00C00F2A">
        <w:rPr>
          <w:sz w:val="22"/>
          <w:szCs w:val="22"/>
        </w:rPr>
        <w:t>ele stanova.</w:t>
      </w:r>
    </w:p>
    <w:p w:rsidR="00B5564C" w:rsidRPr="00C00F2A" w:rsidRDefault="00B5564C" w:rsidP="00153C35">
      <w:pPr>
        <w:jc w:val="both"/>
        <w:rPr>
          <w:sz w:val="22"/>
          <w:szCs w:val="22"/>
          <w:highlight w:val="yellow"/>
        </w:rPr>
      </w:pPr>
      <w:r w:rsidRPr="00C00F2A">
        <w:rPr>
          <w:sz w:val="22"/>
          <w:szCs w:val="22"/>
        </w:rPr>
        <w:t xml:space="preserve">Profesionalna rehabilitacija i zapošljavanje se promovišu kroz širok spektar aktivnosti, uključujući terapijske radionice, profesionalno osposobljavanje, šeme podrške u zapošljavanju i rehabilitacione programe u zajednici. </w:t>
      </w:r>
    </w:p>
    <w:p w:rsidR="00D32E1B" w:rsidRPr="00E00D1D" w:rsidRDefault="00D32E1B" w:rsidP="00ED5A58">
      <w:pPr>
        <w:pStyle w:val="Heading5"/>
        <w:rPr>
          <w:sz w:val="6"/>
          <w:szCs w:val="6"/>
        </w:rPr>
      </w:pPr>
    </w:p>
    <w:p w:rsidR="00ED5A58" w:rsidRPr="00C00F2A" w:rsidRDefault="00ED5A58" w:rsidP="00ED5A58">
      <w:pPr>
        <w:pStyle w:val="Heading5"/>
      </w:pPr>
      <w:r w:rsidRPr="00C00F2A">
        <w:t>L</w:t>
      </w:r>
      <w:r w:rsidR="007A3BDC" w:rsidRPr="00C00F2A">
        <w:t>IJ</w:t>
      </w:r>
      <w:r w:rsidRPr="00C00F2A">
        <w:t>ečenje kroz otvoreni dijalog, finska</w:t>
      </w:r>
      <w:r w:rsidRPr="00C00F2A">
        <w:rPr>
          <w:rStyle w:val="FootnoteReference"/>
        </w:rPr>
        <w:footnoteReference w:id="20"/>
      </w:r>
    </w:p>
    <w:p w:rsidR="00ED5A58" w:rsidRPr="00C00F2A" w:rsidRDefault="00ED5A58" w:rsidP="00153C35">
      <w:pPr>
        <w:jc w:val="both"/>
        <w:rPr>
          <w:sz w:val="22"/>
          <w:szCs w:val="22"/>
        </w:rPr>
      </w:pPr>
      <w:r w:rsidRPr="00C00F2A">
        <w:rPr>
          <w:sz w:val="22"/>
          <w:szCs w:val="22"/>
        </w:rPr>
        <w:t xml:space="preserve">Kao alternativa tradicionalnom sistemu mentalnog zdravlja za osobe sa dijagnozom psihoze razvijen je program pod nazivom Otvoreni dijalog. Ovaj pristup predstavlja metod podrške osobi kroz mrežu koju čine članovi porodice i prijatelji, uz poštovanje odluka te osobe. </w:t>
      </w:r>
    </w:p>
    <w:p w:rsidR="00ED5A58" w:rsidRPr="00C00F2A" w:rsidRDefault="00ED5A58" w:rsidP="00153C35">
      <w:pPr>
        <w:jc w:val="both"/>
        <w:rPr>
          <w:sz w:val="22"/>
          <w:szCs w:val="22"/>
        </w:rPr>
      </w:pPr>
      <w:r w:rsidRPr="00C00F2A">
        <w:rPr>
          <w:sz w:val="22"/>
          <w:szCs w:val="22"/>
        </w:rPr>
        <w:t>Ova usluga pruža se u kućnoj atmosferi i daje najbolje efekte kada se prim</w:t>
      </w:r>
      <w:r w:rsidR="007A3BDC" w:rsidRPr="00C00F2A">
        <w:rPr>
          <w:sz w:val="22"/>
          <w:szCs w:val="22"/>
        </w:rPr>
        <w:t>ij</w:t>
      </w:r>
      <w:r w:rsidRPr="00C00F2A">
        <w:rPr>
          <w:sz w:val="22"/>
          <w:szCs w:val="22"/>
        </w:rPr>
        <w:t>eni u ranoj fazi. Tim stručnjaka u roku od 24 časa okuplja što više ljudi iz okruženja osobe. Oni se sastaju svakodnevno ili svaki drugi dan tokom dv</w:t>
      </w:r>
      <w:r w:rsidR="007A3BDC" w:rsidRPr="00C00F2A">
        <w:rPr>
          <w:sz w:val="22"/>
          <w:szCs w:val="22"/>
        </w:rPr>
        <w:t>ij</w:t>
      </w:r>
      <w:r w:rsidRPr="00C00F2A">
        <w:rPr>
          <w:sz w:val="22"/>
          <w:szCs w:val="22"/>
        </w:rPr>
        <w:t>e do tri nedelje. U najvećem broju slučajeva, intervencija ne podrazum</w:t>
      </w:r>
      <w:r w:rsidR="00F34993" w:rsidRPr="00C00F2A">
        <w:rPr>
          <w:sz w:val="22"/>
          <w:szCs w:val="22"/>
        </w:rPr>
        <w:t>ij</w:t>
      </w:r>
      <w:r w:rsidRPr="00C00F2A">
        <w:rPr>
          <w:sz w:val="22"/>
          <w:szCs w:val="22"/>
        </w:rPr>
        <w:t>eva upotrebu medikamenata, već uključivanje korisnika usluge i njoj bitnih osoba u sve ključne odluke. Tako se obezb</w:t>
      </w:r>
      <w:r w:rsidR="00F34993" w:rsidRPr="00C00F2A">
        <w:rPr>
          <w:sz w:val="22"/>
          <w:szCs w:val="22"/>
        </w:rPr>
        <w:t>j</w:t>
      </w:r>
      <w:r w:rsidRPr="00C00F2A">
        <w:rPr>
          <w:sz w:val="22"/>
          <w:szCs w:val="22"/>
        </w:rPr>
        <w:t>eđuje trenutna, fleksibilna i individualizovana pomoć uz vrednovanje različitih mišljenja.</w:t>
      </w:r>
    </w:p>
    <w:p w:rsidR="00ED5A58" w:rsidRPr="00C00F2A" w:rsidRDefault="00ED5A58" w:rsidP="00153C35">
      <w:pPr>
        <w:jc w:val="both"/>
        <w:rPr>
          <w:sz w:val="22"/>
          <w:szCs w:val="22"/>
        </w:rPr>
      </w:pPr>
      <w:r w:rsidRPr="00C00F2A">
        <w:rPr>
          <w:sz w:val="22"/>
          <w:szCs w:val="22"/>
        </w:rPr>
        <w:t xml:space="preserve">„Otvoreni dijalog“ počiva na sedam </w:t>
      </w:r>
      <w:r w:rsidR="000C7D67" w:rsidRPr="00C00F2A">
        <w:rPr>
          <w:sz w:val="22"/>
          <w:szCs w:val="22"/>
        </w:rPr>
        <w:t>principa: trenutna pomoć, održavanje</w:t>
      </w:r>
      <w:r w:rsidRPr="00C00F2A">
        <w:rPr>
          <w:sz w:val="22"/>
          <w:szCs w:val="22"/>
        </w:rPr>
        <w:t xml:space="preserve"> socijalnih mreža, fleksibilnost, odgovornost, psihološki kontinuitet, tolerancija neizv</w:t>
      </w:r>
      <w:r w:rsidR="00F34993" w:rsidRPr="00C00F2A">
        <w:rPr>
          <w:sz w:val="22"/>
          <w:szCs w:val="22"/>
        </w:rPr>
        <w:t>j</w:t>
      </w:r>
      <w:r w:rsidRPr="00C00F2A">
        <w:rPr>
          <w:sz w:val="22"/>
          <w:szCs w:val="22"/>
        </w:rPr>
        <w:t>esnosti i dijalog.</w:t>
      </w:r>
    </w:p>
    <w:p w:rsidR="00ED5A58" w:rsidRPr="00C00F2A" w:rsidRDefault="00ED5A58" w:rsidP="00153C35">
      <w:pPr>
        <w:jc w:val="both"/>
        <w:rPr>
          <w:sz w:val="22"/>
          <w:szCs w:val="22"/>
        </w:rPr>
      </w:pPr>
      <w:r w:rsidRPr="00C00F2A">
        <w:rPr>
          <w:sz w:val="22"/>
          <w:szCs w:val="22"/>
        </w:rPr>
        <w:lastRenderedPageBreak/>
        <w:t>Članovi mobilnog tima mobišu se među postojećim osobljem</w:t>
      </w:r>
      <w:r w:rsidR="000C7D67" w:rsidRPr="00C00F2A">
        <w:rPr>
          <w:sz w:val="22"/>
          <w:szCs w:val="22"/>
        </w:rPr>
        <w:t xml:space="preserve"> iz</w:t>
      </w:r>
      <w:r w:rsidRPr="00C00F2A">
        <w:rPr>
          <w:sz w:val="22"/>
          <w:szCs w:val="22"/>
        </w:rPr>
        <w:t xml:space="preserve"> pet centara za van-bolničko l</w:t>
      </w:r>
      <w:r w:rsidR="00F34993" w:rsidRPr="00C00F2A">
        <w:rPr>
          <w:sz w:val="22"/>
          <w:szCs w:val="22"/>
        </w:rPr>
        <w:t>ij</w:t>
      </w:r>
      <w:r w:rsidRPr="00C00F2A">
        <w:rPr>
          <w:sz w:val="22"/>
          <w:szCs w:val="22"/>
        </w:rPr>
        <w:t>ečenje i jednog bolničkog od</w:t>
      </w:r>
      <w:r w:rsidR="00F34993" w:rsidRPr="00C00F2A">
        <w:rPr>
          <w:sz w:val="22"/>
          <w:szCs w:val="22"/>
        </w:rPr>
        <w:t>j</w:t>
      </w:r>
      <w:r w:rsidRPr="00C00F2A">
        <w:rPr>
          <w:sz w:val="22"/>
          <w:szCs w:val="22"/>
        </w:rPr>
        <w:t>eljenja za akutno l</w:t>
      </w:r>
      <w:r w:rsidR="00F34993" w:rsidRPr="00C00F2A">
        <w:rPr>
          <w:sz w:val="22"/>
          <w:szCs w:val="22"/>
        </w:rPr>
        <w:t>ij</w:t>
      </w:r>
      <w:r w:rsidRPr="00C00F2A">
        <w:rPr>
          <w:sz w:val="22"/>
          <w:szCs w:val="22"/>
        </w:rPr>
        <w:t>ečenje (kapaciteta 30 kreveta), koji su prošli odgovarajuće obuke. Na taj način postiže se kontinuitet l</w:t>
      </w:r>
      <w:r w:rsidR="00F34993" w:rsidRPr="00C00F2A">
        <w:rPr>
          <w:sz w:val="22"/>
          <w:szCs w:val="22"/>
        </w:rPr>
        <w:t>ij</w:t>
      </w:r>
      <w:r w:rsidRPr="00C00F2A">
        <w:rPr>
          <w:sz w:val="22"/>
          <w:szCs w:val="22"/>
        </w:rPr>
        <w:t>ečenja kod pacijenata koji su bili na bolničkom l</w:t>
      </w:r>
      <w:r w:rsidR="00F34993" w:rsidRPr="00C00F2A">
        <w:rPr>
          <w:sz w:val="22"/>
          <w:szCs w:val="22"/>
        </w:rPr>
        <w:t>ij</w:t>
      </w:r>
      <w:r w:rsidRPr="00C00F2A">
        <w:rPr>
          <w:sz w:val="22"/>
          <w:szCs w:val="22"/>
        </w:rPr>
        <w:t>ečenju</w:t>
      </w:r>
      <w:r w:rsidR="00F34993" w:rsidRPr="00C00F2A">
        <w:rPr>
          <w:sz w:val="22"/>
          <w:szCs w:val="22"/>
        </w:rPr>
        <w:t>,</w:t>
      </w:r>
      <w:r w:rsidRPr="00C00F2A">
        <w:rPr>
          <w:sz w:val="22"/>
          <w:szCs w:val="22"/>
        </w:rPr>
        <w:t xml:space="preserve"> kao i onih koji se l</w:t>
      </w:r>
      <w:r w:rsidR="00F34993" w:rsidRPr="00C00F2A">
        <w:rPr>
          <w:sz w:val="22"/>
          <w:szCs w:val="22"/>
        </w:rPr>
        <w:t>ij</w:t>
      </w:r>
      <w:r w:rsidRPr="00C00F2A">
        <w:rPr>
          <w:sz w:val="22"/>
          <w:szCs w:val="22"/>
        </w:rPr>
        <w:t>eče u vanbolničkim uslovima.</w:t>
      </w:r>
    </w:p>
    <w:p w:rsidR="00D32E1B" w:rsidRPr="00E00D1D" w:rsidRDefault="00D32E1B" w:rsidP="00E462DD">
      <w:pPr>
        <w:pStyle w:val="Heading5"/>
        <w:rPr>
          <w:sz w:val="6"/>
          <w:szCs w:val="6"/>
        </w:rPr>
      </w:pPr>
    </w:p>
    <w:p w:rsidR="00E462DD" w:rsidRPr="00C00F2A" w:rsidRDefault="00E462DD" w:rsidP="00E462DD">
      <w:pPr>
        <w:pStyle w:val="Heading5"/>
      </w:pPr>
      <w:r w:rsidRPr="00C00F2A">
        <w:t>Prevencija krizne situacije, Grčka</w:t>
      </w:r>
      <w:r w:rsidR="000C7D67" w:rsidRPr="00C00F2A">
        <w:rPr>
          <w:rStyle w:val="FootnoteReference"/>
        </w:rPr>
        <w:footnoteReference w:id="21"/>
      </w:r>
    </w:p>
    <w:p w:rsidR="00E462DD" w:rsidRPr="00C00F2A" w:rsidRDefault="00E462DD" w:rsidP="00153C35">
      <w:pPr>
        <w:jc w:val="both"/>
        <w:rPr>
          <w:sz w:val="22"/>
          <w:szCs w:val="22"/>
        </w:rPr>
      </w:pPr>
      <w:r w:rsidRPr="00C00F2A">
        <w:rPr>
          <w:sz w:val="22"/>
          <w:szCs w:val="22"/>
        </w:rPr>
        <w:t>Institut za mentalno zdravlje d</w:t>
      </w:r>
      <w:r w:rsidR="00FD55FD" w:rsidRPr="00C00F2A">
        <w:rPr>
          <w:sz w:val="22"/>
          <w:szCs w:val="22"/>
        </w:rPr>
        <w:t>j</w:t>
      </w:r>
      <w:r w:rsidRPr="00C00F2A">
        <w:rPr>
          <w:sz w:val="22"/>
          <w:szCs w:val="22"/>
        </w:rPr>
        <w:t>ece i odraslih osoba u Grčkoj uspostavio je jedinicu</w:t>
      </w:r>
      <w:r w:rsidR="00CE29FF" w:rsidRPr="00C00F2A">
        <w:rPr>
          <w:sz w:val="22"/>
          <w:szCs w:val="22"/>
        </w:rPr>
        <w:t xml:space="preserve"> </w:t>
      </w:r>
      <w:r w:rsidR="000C7D67" w:rsidRPr="00C00F2A">
        <w:rPr>
          <w:sz w:val="22"/>
          <w:szCs w:val="22"/>
        </w:rPr>
        <w:t>psihijatrijskog liječenja u d</w:t>
      </w:r>
      <w:r w:rsidRPr="00C00F2A">
        <w:rPr>
          <w:sz w:val="22"/>
          <w:szCs w:val="22"/>
        </w:rPr>
        <w:t>omu pacijenata, koja se uvelik</w:t>
      </w:r>
      <w:r w:rsidR="000C7D67" w:rsidRPr="00C00F2A">
        <w:rPr>
          <w:sz w:val="22"/>
          <w:szCs w:val="22"/>
        </w:rPr>
        <w:t>o</w:t>
      </w:r>
      <w:r w:rsidRPr="00C00F2A">
        <w:rPr>
          <w:sz w:val="22"/>
          <w:szCs w:val="22"/>
        </w:rPr>
        <w:t xml:space="preserve"> temelji na istim načelima kao i</w:t>
      </w:r>
      <w:r w:rsidR="00CE29FF" w:rsidRPr="00C00F2A">
        <w:rPr>
          <w:sz w:val="22"/>
          <w:szCs w:val="22"/>
        </w:rPr>
        <w:t xml:space="preserve"> </w:t>
      </w:r>
      <w:r w:rsidRPr="00C00F2A">
        <w:rPr>
          <w:sz w:val="22"/>
          <w:szCs w:val="22"/>
        </w:rPr>
        <w:t>mobilne psihijatrijske jedinice.</w:t>
      </w:r>
    </w:p>
    <w:p w:rsidR="00E462DD" w:rsidRPr="00C00F2A" w:rsidRDefault="000C7D67" w:rsidP="00153C35">
      <w:pPr>
        <w:jc w:val="both"/>
        <w:rPr>
          <w:sz w:val="22"/>
          <w:szCs w:val="22"/>
        </w:rPr>
      </w:pPr>
      <w:r w:rsidRPr="00C00F2A">
        <w:rPr>
          <w:sz w:val="22"/>
          <w:szCs w:val="22"/>
        </w:rPr>
        <w:t>Osobe koje zadovoljavaju uslove za korišć</w:t>
      </w:r>
      <w:r w:rsidR="00E462DD" w:rsidRPr="00C00F2A">
        <w:rPr>
          <w:sz w:val="22"/>
          <w:szCs w:val="22"/>
        </w:rPr>
        <w:t>enje usluge</w:t>
      </w:r>
      <w:r w:rsidRPr="00C00F2A">
        <w:rPr>
          <w:sz w:val="22"/>
          <w:szCs w:val="22"/>
        </w:rPr>
        <w:t xml:space="preserve"> su</w:t>
      </w:r>
      <w:r w:rsidR="00E462DD" w:rsidRPr="00C00F2A">
        <w:rPr>
          <w:sz w:val="22"/>
          <w:szCs w:val="22"/>
        </w:rPr>
        <w:t>:</w:t>
      </w:r>
    </w:p>
    <w:p w:rsidR="00E462DD" w:rsidRPr="00C00F2A" w:rsidRDefault="00E462DD" w:rsidP="00153C35">
      <w:pPr>
        <w:pStyle w:val="ListParagraph"/>
        <w:numPr>
          <w:ilvl w:val="0"/>
          <w:numId w:val="15"/>
        </w:numPr>
        <w:jc w:val="both"/>
        <w:rPr>
          <w:sz w:val="22"/>
          <w:szCs w:val="22"/>
        </w:rPr>
      </w:pPr>
      <w:r w:rsidRPr="00C00F2A">
        <w:rPr>
          <w:sz w:val="22"/>
          <w:szCs w:val="22"/>
        </w:rPr>
        <w:t>Osobe s psiho-socijalnim poteškoćama koje prolaze kroz akutnu psihijatrijsku krizu</w:t>
      </w:r>
    </w:p>
    <w:p w:rsidR="00CE29FF" w:rsidRPr="00C00F2A" w:rsidRDefault="00E462DD" w:rsidP="00153C35">
      <w:pPr>
        <w:pStyle w:val="ListParagraph"/>
        <w:numPr>
          <w:ilvl w:val="0"/>
          <w:numId w:val="15"/>
        </w:numPr>
        <w:jc w:val="both"/>
        <w:rPr>
          <w:sz w:val="22"/>
          <w:szCs w:val="22"/>
        </w:rPr>
      </w:pPr>
      <w:r w:rsidRPr="00C00F2A">
        <w:rPr>
          <w:sz w:val="22"/>
          <w:szCs w:val="22"/>
        </w:rPr>
        <w:t>Osobe s psiho-socijalnim poteškoćama koje se vraćaju kući nakon dugog ili kratkog</w:t>
      </w:r>
      <w:r w:rsidR="00CE29FF" w:rsidRPr="00C00F2A">
        <w:rPr>
          <w:sz w:val="22"/>
          <w:szCs w:val="22"/>
        </w:rPr>
        <w:t xml:space="preserve"> </w:t>
      </w:r>
      <w:r w:rsidRPr="00C00F2A">
        <w:rPr>
          <w:sz w:val="22"/>
          <w:szCs w:val="22"/>
        </w:rPr>
        <w:t>boravka u bolnici</w:t>
      </w:r>
    </w:p>
    <w:p w:rsidR="00CE29FF" w:rsidRPr="00C00F2A" w:rsidRDefault="00E462DD" w:rsidP="00153C35">
      <w:pPr>
        <w:pStyle w:val="ListParagraph"/>
        <w:numPr>
          <w:ilvl w:val="0"/>
          <w:numId w:val="15"/>
        </w:numPr>
        <w:jc w:val="both"/>
        <w:rPr>
          <w:sz w:val="22"/>
          <w:szCs w:val="22"/>
        </w:rPr>
      </w:pPr>
      <w:r w:rsidRPr="00C00F2A">
        <w:rPr>
          <w:sz w:val="22"/>
          <w:szCs w:val="22"/>
        </w:rPr>
        <w:t xml:space="preserve">Ambulantni pacijenti </w:t>
      </w:r>
      <w:r w:rsidR="000C7D67" w:rsidRPr="00C00F2A">
        <w:rPr>
          <w:sz w:val="22"/>
          <w:szCs w:val="22"/>
        </w:rPr>
        <w:t>koji nikad nisu bili hospitalizov</w:t>
      </w:r>
      <w:r w:rsidRPr="00C00F2A">
        <w:rPr>
          <w:sz w:val="22"/>
          <w:szCs w:val="22"/>
        </w:rPr>
        <w:t>ani</w:t>
      </w:r>
    </w:p>
    <w:p w:rsidR="00E462DD" w:rsidRPr="00C00F2A" w:rsidRDefault="000C7D67" w:rsidP="00153C35">
      <w:pPr>
        <w:pStyle w:val="ListParagraph"/>
        <w:numPr>
          <w:ilvl w:val="0"/>
          <w:numId w:val="15"/>
        </w:numPr>
        <w:jc w:val="both"/>
        <w:rPr>
          <w:sz w:val="22"/>
          <w:szCs w:val="22"/>
        </w:rPr>
      </w:pPr>
      <w:r w:rsidRPr="00C00F2A">
        <w:rPr>
          <w:sz w:val="22"/>
          <w:szCs w:val="22"/>
        </w:rPr>
        <w:t>S</w:t>
      </w:r>
      <w:r w:rsidR="00E462DD" w:rsidRPr="00C00F2A">
        <w:rPr>
          <w:sz w:val="22"/>
          <w:szCs w:val="22"/>
        </w:rPr>
        <w:t>tabiliz</w:t>
      </w:r>
      <w:r w:rsidRPr="00C00F2A">
        <w:rPr>
          <w:sz w:val="22"/>
          <w:szCs w:val="22"/>
        </w:rPr>
        <w:t>ov</w:t>
      </w:r>
      <w:r w:rsidR="00E462DD" w:rsidRPr="00C00F2A">
        <w:rPr>
          <w:sz w:val="22"/>
          <w:szCs w:val="22"/>
        </w:rPr>
        <w:t>ani pojedinci s psiho-socijalnim poteškoćama i problemima s pokretljivošću</w:t>
      </w:r>
    </w:p>
    <w:p w:rsidR="00E462DD" w:rsidRPr="00C00F2A" w:rsidRDefault="000C7D67" w:rsidP="00153C35">
      <w:pPr>
        <w:jc w:val="both"/>
        <w:rPr>
          <w:sz w:val="22"/>
          <w:szCs w:val="22"/>
        </w:rPr>
      </w:pPr>
      <w:r w:rsidRPr="00C00F2A">
        <w:rPr>
          <w:sz w:val="22"/>
          <w:szCs w:val="22"/>
        </w:rPr>
        <w:t>Kriterijumi</w:t>
      </w:r>
      <w:r w:rsidR="00E462DD" w:rsidRPr="00C00F2A">
        <w:rPr>
          <w:sz w:val="22"/>
          <w:szCs w:val="22"/>
        </w:rPr>
        <w:t xml:space="preserve"> uključuju potrebu za dovoljno stabil</w:t>
      </w:r>
      <w:r w:rsidRPr="00C00F2A">
        <w:rPr>
          <w:sz w:val="22"/>
          <w:szCs w:val="22"/>
        </w:rPr>
        <w:t>nom okolinom s ciljem pod</w:t>
      </w:r>
      <w:r w:rsidR="00FD55FD" w:rsidRPr="00C00F2A">
        <w:rPr>
          <w:sz w:val="22"/>
          <w:szCs w:val="22"/>
        </w:rPr>
        <w:t>j</w:t>
      </w:r>
      <w:r w:rsidRPr="00C00F2A">
        <w:rPr>
          <w:sz w:val="22"/>
          <w:szCs w:val="22"/>
        </w:rPr>
        <w:t>ele</w:t>
      </w:r>
      <w:r w:rsidR="00E462DD" w:rsidRPr="00C00F2A">
        <w:rPr>
          <w:sz w:val="22"/>
          <w:szCs w:val="22"/>
        </w:rPr>
        <w:t xml:space="preserve"> odgovornosti za</w:t>
      </w:r>
      <w:r w:rsidR="00CE29FF" w:rsidRPr="00C00F2A">
        <w:rPr>
          <w:sz w:val="22"/>
          <w:szCs w:val="22"/>
        </w:rPr>
        <w:t xml:space="preserve"> </w:t>
      </w:r>
      <w:r w:rsidRPr="00C00F2A">
        <w:rPr>
          <w:sz w:val="22"/>
          <w:szCs w:val="22"/>
        </w:rPr>
        <w:t>siguran sm</w:t>
      </w:r>
      <w:r w:rsidR="00FD55FD" w:rsidRPr="00C00F2A">
        <w:rPr>
          <w:sz w:val="22"/>
          <w:szCs w:val="22"/>
        </w:rPr>
        <w:t>j</w:t>
      </w:r>
      <w:r w:rsidR="00E462DD" w:rsidRPr="00C00F2A">
        <w:rPr>
          <w:sz w:val="22"/>
          <w:szCs w:val="22"/>
        </w:rPr>
        <w:t>eštaj u kući osobe s ps</w:t>
      </w:r>
      <w:r w:rsidRPr="00C00F2A">
        <w:rPr>
          <w:sz w:val="22"/>
          <w:szCs w:val="22"/>
        </w:rPr>
        <w:t>iho-socijalnim poteškoćama, u sa</w:t>
      </w:r>
      <w:r w:rsidR="00E462DD" w:rsidRPr="00C00F2A">
        <w:rPr>
          <w:sz w:val="22"/>
          <w:szCs w:val="22"/>
        </w:rPr>
        <w:t>radnji s timom terapeuta</w:t>
      </w:r>
      <w:r w:rsidR="00CE29FF" w:rsidRPr="00C00F2A">
        <w:rPr>
          <w:sz w:val="22"/>
          <w:szCs w:val="22"/>
        </w:rPr>
        <w:t xml:space="preserve"> </w:t>
      </w:r>
      <w:r w:rsidR="00E462DD" w:rsidRPr="00C00F2A">
        <w:rPr>
          <w:sz w:val="22"/>
          <w:szCs w:val="22"/>
        </w:rPr>
        <w:t>i korisnikom usluga.</w:t>
      </w:r>
    </w:p>
    <w:p w:rsidR="00E462DD" w:rsidRPr="00C00F2A" w:rsidRDefault="00FD55FD" w:rsidP="00153C35">
      <w:pPr>
        <w:jc w:val="both"/>
        <w:rPr>
          <w:sz w:val="22"/>
          <w:szCs w:val="22"/>
        </w:rPr>
      </w:pPr>
      <w:r w:rsidRPr="00C00F2A">
        <w:rPr>
          <w:sz w:val="22"/>
          <w:szCs w:val="22"/>
        </w:rPr>
        <w:t>Ova j</w:t>
      </w:r>
      <w:r w:rsidR="000C7D67" w:rsidRPr="00C00F2A">
        <w:rPr>
          <w:sz w:val="22"/>
          <w:szCs w:val="22"/>
        </w:rPr>
        <w:t>edinica radi prema sl</w:t>
      </w:r>
      <w:r w:rsidRPr="00C00F2A">
        <w:rPr>
          <w:sz w:val="22"/>
          <w:szCs w:val="22"/>
        </w:rPr>
        <w:t>j</w:t>
      </w:r>
      <w:r w:rsidR="00E462DD" w:rsidRPr="00C00F2A">
        <w:rPr>
          <w:sz w:val="22"/>
          <w:szCs w:val="22"/>
        </w:rPr>
        <w:t>edećem modelu:</w:t>
      </w:r>
    </w:p>
    <w:p w:rsidR="00E462DD" w:rsidRPr="00C00F2A" w:rsidRDefault="00E462DD" w:rsidP="00153C35">
      <w:pPr>
        <w:pStyle w:val="ListParagraph"/>
        <w:numPr>
          <w:ilvl w:val="0"/>
          <w:numId w:val="18"/>
        </w:numPr>
        <w:jc w:val="both"/>
        <w:rPr>
          <w:sz w:val="22"/>
          <w:szCs w:val="22"/>
        </w:rPr>
      </w:pPr>
      <w:r w:rsidRPr="00C00F2A">
        <w:rPr>
          <w:sz w:val="22"/>
          <w:szCs w:val="22"/>
        </w:rPr>
        <w:t>T</w:t>
      </w:r>
      <w:r w:rsidR="005971C5" w:rsidRPr="00C00F2A">
        <w:rPr>
          <w:sz w:val="22"/>
          <w:szCs w:val="22"/>
        </w:rPr>
        <w:t>o</w:t>
      </w:r>
      <w:r w:rsidRPr="00C00F2A">
        <w:rPr>
          <w:sz w:val="22"/>
          <w:szCs w:val="22"/>
        </w:rPr>
        <w:t>kom prvih dana psihijatrijske krize, tim boravi u do</w:t>
      </w:r>
      <w:r w:rsidR="00FD55FD" w:rsidRPr="00C00F2A">
        <w:rPr>
          <w:sz w:val="22"/>
          <w:szCs w:val="22"/>
        </w:rPr>
        <w:t>mu korisnika usluge gotovo ci</w:t>
      </w:r>
      <w:r w:rsidR="005971C5" w:rsidRPr="00C00F2A">
        <w:rPr>
          <w:sz w:val="22"/>
          <w:szCs w:val="22"/>
        </w:rPr>
        <w:t>o d</w:t>
      </w:r>
      <w:r w:rsidRPr="00C00F2A">
        <w:rPr>
          <w:sz w:val="22"/>
          <w:szCs w:val="22"/>
        </w:rPr>
        <w:t>an, pokušavajući</w:t>
      </w:r>
      <w:r w:rsidR="005971C5" w:rsidRPr="00C00F2A">
        <w:rPr>
          <w:sz w:val="22"/>
          <w:szCs w:val="22"/>
        </w:rPr>
        <w:t xml:space="preserve"> da uspostavi</w:t>
      </w:r>
      <w:r w:rsidRPr="00C00F2A">
        <w:rPr>
          <w:sz w:val="22"/>
          <w:szCs w:val="22"/>
        </w:rPr>
        <w:t xml:space="preserve"> snažan i pov</w:t>
      </w:r>
      <w:r w:rsidR="00FD55FD" w:rsidRPr="00C00F2A">
        <w:rPr>
          <w:sz w:val="22"/>
          <w:szCs w:val="22"/>
        </w:rPr>
        <w:t>j</w:t>
      </w:r>
      <w:r w:rsidRPr="00C00F2A">
        <w:rPr>
          <w:sz w:val="22"/>
          <w:szCs w:val="22"/>
        </w:rPr>
        <w:t>erljiv odnos</w:t>
      </w:r>
      <w:r w:rsidR="005971C5" w:rsidRPr="00C00F2A">
        <w:rPr>
          <w:sz w:val="22"/>
          <w:szCs w:val="22"/>
        </w:rPr>
        <w:t xml:space="preserve">. To može uključiti i </w:t>
      </w:r>
      <w:r w:rsidRPr="00C00F2A">
        <w:rPr>
          <w:sz w:val="22"/>
          <w:szCs w:val="22"/>
        </w:rPr>
        <w:t>davanje l</w:t>
      </w:r>
      <w:r w:rsidR="00FD55FD" w:rsidRPr="00C00F2A">
        <w:rPr>
          <w:sz w:val="22"/>
          <w:szCs w:val="22"/>
        </w:rPr>
        <w:t>j</w:t>
      </w:r>
      <w:r w:rsidRPr="00C00F2A">
        <w:rPr>
          <w:sz w:val="22"/>
          <w:szCs w:val="22"/>
        </w:rPr>
        <w:t>ekova.</w:t>
      </w:r>
    </w:p>
    <w:p w:rsidR="00E462DD" w:rsidRPr="00C00F2A" w:rsidRDefault="00E462DD" w:rsidP="00153C35">
      <w:pPr>
        <w:pStyle w:val="ListParagraph"/>
        <w:numPr>
          <w:ilvl w:val="0"/>
          <w:numId w:val="18"/>
        </w:numPr>
        <w:jc w:val="both"/>
        <w:rPr>
          <w:sz w:val="22"/>
          <w:szCs w:val="22"/>
        </w:rPr>
      </w:pPr>
      <w:r w:rsidRPr="00C00F2A">
        <w:rPr>
          <w:sz w:val="22"/>
          <w:szCs w:val="22"/>
        </w:rPr>
        <w:t>Od samog početka, tim pokuša</w:t>
      </w:r>
      <w:r w:rsidR="005971C5" w:rsidRPr="00C00F2A">
        <w:rPr>
          <w:sz w:val="22"/>
          <w:szCs w:val="22"/>
        </w:rPr>
        <w:t>va da korisnik usluga prihvati odgovornost</w:t>
      </w:r>
      <w:r w:rsidRPr="00C00F2A">
        <w:rPr>
          <w:sz w:val="22"/>
          <w:szCs w:val="22"/>
        </w:rPr>
        <w:t xml:space="preserve"> i ne do</w:t>
      </w:r>
      <w:r w:rsidR="005971C5" w:rsidRPr="00C00F2A">
        <w:rPr>
          <w:sz w:val="22"/>
          <w:szCs w:val="22"/>
        </w:rPr>
        <w:t>zvoljava</w:t>
      </w:r>
      <w:r w:rsidR="007D72DF" w:rsidRPr="00C00F2A">
        <w:rPr>
          <w:sz w:val="22"/>
          <w:szCs w:val="22"/>
        </w:rPr>
        <w:t xml:space="preserve"> d</w:t>
      </w:r>
      <w:r w:rsidRPr="00C00F2A">
        <w:rPr>
          <w:sz w:val="22"/>
          <w:szCs w:val="22"/>
        </w:rPr>
        <w:t>a</w:t>
      </w:r>
      <w:r w:rsidR="005971C5" w:rsidRPr="00C00F2A">
        <w:rPr>
          <w:sz w:val="22"/>
          <w:szCs w:val="22"/>
        </w:rPr>
        <w:t xml:space="preserve"> on/ona</w:t>
      </w:r>
      <w:r w:rsidR="00607D5B" w:rsidRPr="00C00F2A">
        <w:rPr>
          <w:sz w:val="22"/>
          <w:szCs w:val="22"/>
        </w:rPr>
        <w:t xml:space="preserve"> </w:t>
      </w:r>
      <w:r w:rsidRPr="00C00F2A">
        <w:rPr>
          <w:sz w:val="22"/>
          <w:szCs w:val="22"/>
        </w:rPr>
        <w:t>usvoji ulogu bolesnika.</w:t>
      </w:r>
    </w:p>
    <w:p w:rsidR="00E462DD" w:rsidRPr="00C00F2A" w:rsidRDefault="005971C5" w:rsidP="00153C35">
      <w:pPr>
        <w:pStyle w:val="ListParagraph"/>
        <w:numPr>
          <w:ilvl w:val="0"/>
          <w:numId w:val="18"/>
        </w:numPr>
        <w:jc w:val="both"/>
        <w:rPr>
          <w:sz w:val="22"/>
          <w:szCs w:val="22"/>
        </w:rPr>
      </w:pPr>
      <w:r w:rsidRPr="00C00F2A">
        <w:rPr>
          <w:sz w:val="22"/>
          <w:szCs w:val="22"/>
        </w:rPr>
        <w:t>Što je pr</w:t>
      </w:r>
      <w:r w:rsidR="007D72DF" w:rsidRPr="00C00F2A">
        <w:rPr>
          <w:sz w:val="22"/>
          <w:szCs w:val="22"/>
        </w:rPr>
        <w:t>ij</w:t>
      </w:r>
      <w:r w:rsidR="00E462DD" w:rsidRPr="00C00F2A">
        <w:rPr>
          <w:sz w:val="22"/>
          <w:szCs w:val="22"/>
        </w:rPr>
        <w:t>e moguće, tim podržava korisnika u povratku na posao i u društveni život.</w:t>
      </w:r>
    </w:p>
    <w:p w:rsidR="00E462DD" w:rsidRPr="00C00F2A" w:rsidRDefault="00E462DD" w:rsidP="00153C35">
      <w:pPr>
        <w:pStyle w:val="ListParagraph"/>
        <w:numPr>
          <w:ilvl w:val="0"/>
          <w:numId w:val="18"/>
        </w:numPr>
        <w:jc w:val="both"/>
        <w:rPr>
          <w:sz w:val="22"/>
          <w:szCs w:val="22"/>
        </w:rPr>
      </w:pPr>
      <w:r w:rsidRPr="00C00F2A">
        <w:rPr>
          <w:sz w:val="22"/>
          <w:szCs w:val="22"/>
        </w:rPr>
        <w:t>Postupno, i u skladu s potrebama pojedinca, tim smanjuje svoju prisutnost, ali i dalje</w:t>
      </w:r>
      <w:r w:rsidR="00607D5B" w:rsidRPr="00C00F2A">
        <w:rPr>
          <w:sz w:val="22"/>
          <w:szCs w:val="22"/>
        </w:rPr>
        <w:t xml:space="preserve"> </w:t>
      </w:r>
      <w:r w:rsidR="005971C5" w:rsidRPr="00C00F2A">
        <w:rPr>
          <w:sz w:val="22"/>
          <w:szCs w:val="22"/>
        </w:rPr>
        <w:t>pruža stalnu i neprekidnu podršk</w:t>
      </w:r>
      <w:r w:rsidRPr="00C00F2A">
        <w:rPr>
          <w:sz w:val="22"/>
          <w:szCs w:val="22"/>
        </w:rPr>
        <w:t>u.</w:t>
      </w:r>
    </w:p>
    <w:p w:rsidR="00E462DD" w:rsidRPr="00C00F2A" w:rsidRDefault="005971C5" w:rsidP="00153C35">
      <w:pPr>
        <w:pStyle w:val="ListParagraph"/>
        <w:numPr>
          <w:ilvl w:val="0"/>
          <w:numId w:val="18"/>
        </w:numPr>
        <w:jc w:val="both"/>
        <w:rPr>
          <w:sz w:val="22"/>
          <w:szCs w:val="22"/>
        </w:rPr>
      </w:pPr>
      <w:r w:rsidRPr="00C00F2A">
        <w:rPr>
          <w:sz w:val="22"/>
          <w:szCs w:val="22"/>
        </w:rPr>
        <w:t>Institut</w:t>
      </w:r>
      <w:r w:rsidR="007D72DF" w:rsidRPr="00C00F2A">
        <w:rPr>
          <w:sz w:val="22"/>
          <w:szCs w:val="22"/>
        </w:rPr>
        <w:t>,</w:t>
      </w:r>
      <w:r w:rsidRPr="00C00F2A">
        <w:rPr>
          <w:sz w:val="22"/>
          <w:szCs w:val="22"/>
        </w:rPr>
        <w:t xml:space="preserve"> takođe</w:t>
      </w:r>
      <w:r w:rsidR="007D72DF" w:rsidRPr="00C00F2A">
        <w:rPr>
          <w:sz w:val="22"/>
          <w:szCs w:val="22"/>
        </w:rPr>
        <w:t>,</w:t>
      </w:r>
      <w:r w:rsidRPr="00C00F2A">
        <w:rPr>
          <w:sz w:val="22"/>
          <w:szCs w:val="22"/>
        </w:rPr>
        <w:t xml:space="preserve"> porodicama nudi stabilnu podršku</w:t>
      </w:r>
      <w:r w:rsidR="00E462DD" w:rsidRPr="00C00F2A">
        <w:rPr>
          <w:sz w:val="22"/>
          <w:szCs w:val="22"/>
        </w:rPr>
        <w:t xml:space="preserve"> i obuku iz mentalnog zdravlja.</w:t>
      </w:r>
    </w:p>
    <w:p w:rsidR="00607D5B" w:rsidRPr="00C00F2A" w:rsidRDefault="005971C5" w:rsidP="00153C35">
      <w:pPr>
        <w:pStyle w:val="ListParagraph"/>
        <w:numPr>
          <w:ilvl w:val="0"/>
          <w:numId w:val="18"/>
        </w:numPr>
        <w:jc w:val="both"/>
        <w:rPr>
          <w:sz w:val="22"/>
          <w:szCs w:val="22"/>
        </w:rPr>
      </w:pPr>
      <w:r w:rsidRPr="00C00F2A">
        <w:rPr>
          <w:sz w:val="22"/>
          <w:szCs w:val="22"/>
        </w:rPr>
        <w:t>Tim pruža podršku</w:t>
      </w:r>
      <w:r w:rsidR="00E462DD" w:rsidRPr="00C00F2A">
        <w:rPr>
          <w:sz w:val="22"/>
          <w:szCs w:val="22"/>
        </w:rPr>
        <w:t xml:space="preserve"> korisniku na radnom m</w:t>
      </w:r>
      <w:r w:rsidR="007D72DF" w:rsidRPr="00C00F2A">
        <w:rPr>
          <w:sz w:val="22"/>
          <w:szCs w:val="22"/>
        </w:rPr>
        <w:t>j</w:t>
      </w:r>
      <w:r w:rsidR="00E462DD" w:rsidRPr="00C00F2A">
        <w:rPr>
          <w:sz w:val="22"/>
          <w:szCs w:val="22"/>
        </w:rPr>
        <w:t xml:space="preserve">estu i </w:t>
      </w:r>
      <w:r w:rsidRPr="00C00F2A">
        <w:rPr>
          <w:sz w:val="22"/>
          <w:szCs w:val="22"/>
        </w:rPr>
        <w:t>uopšte u</w:t>
      </w:r>
      <w:r w:rsidR="00E462DD" w:rsidRPr="00C00F2A">
        <w:rPr>
          <w:sz w:val="22"/>
          <w:szCs w:val="22"/>
        </w:rPr>
        <w:t xml:space="preserve"> društvenom okruženju</w:t>
      </w:r>
      <w:r w:rsidR="007D72DF" w:rsidRPr="00C00F2A">
        <w:rPr>
          <w:sz w:val="22"/>
          <w:szCs w:val="22"/>
        </w:rPr>
        <w:t>,</w:t>
      </w:r>
      <w:r w:rsidR="00E462DD" w:rsidRPr="00C00F2A">
        <w:rPr>
          <w:sz w:val="22"/>
          <w:szCs w:val="22"/>
        </w:rPr>
        <w:t xml:space="preserve"> </w:t>
      </w:r>
      <w:r w:rsidRPr="00C00F2A">
        <w:rPr>
          <w:sz w:val="22"/>
          <w:szCs w:val="22"/>
        </w:rPr>
        <w:t>čime se jača mreža podrške</w:t>
      </w:r>
      <w:r w:rsidR="00E462DD" w:rsidRPr="00C00F2A">
        <w:rPr>
          <w:sz w:val="22"/>
          <w:szCs w:val="22"/>
        </w:rPr>
        <w:t>.</w:t>
      </w:r>
    </w:p>
    <w:p w:rsidR="00E462DD" w:rsidRPr="00C00F2A" w:rsidRDefault="00E462DD" w:rsidP="00153C35">
      <w:pPr>
        <w:pStyle w:val="ListParagraph"/>
        <w:numPr>
          <w:ilvl w:val="0"/>
          <w:numId w:val="18"/>
        </w:numPr>
        <w:jc w:val="both"/>
        <w:rPr>
          <w:sz w:val="22"/>
          <w:szCs w:val="22"/>
        </w:rPr>
      </w:pPr>
      <w:r w:rsidRPr="00C00F2A">
        <w:rPr>
          <w:sz w:val="22"/>
          <w:szCs w:val="22"/>
        </w:rPr>
        <w:t>Institut prim</w:t>
      </w:r>
      <w:r w:rsidR="007D72DF" w:rsidRPr="00C00F2A">
        <w:rPr>
          <w:sz w:val="22"/>
          <w:szCs w:val="22"/>
        </w:rPr>
        <w:t>j</w:t>
      </w:r>
      <w:r w:rsidRPr="00C00F2A">
        <w:rPr>
          <w:sz w:val="22"/>
          <w:szCs w:val="22"/>
        </w:rPr>
        <w:t xml:space="preserve">enjuje programe senzibilizacije zajednice (obuka iz mentalnog zdravlja) </w:t>
      </w:r>
      <w:r w:rsidR="00333152" w:rsidRPr="00C00F2A">
        <w:rPr>
          <w:sz w:val="22"/>
          <w:szCs w:val="22"/>
        </w:rPr>
        <w:t>i organizuje</w:t>
      </w:r>
      <w:r w:rsidRPr="00C00F2A">
        <w:rPr>
          <w:sz w:val="22"/>
          <w:szCs w:val="22"/>
        </w:rPr>
        <w:t xml:space="preserve"> obuku za ljude na ključnim javnim</w:t>
      </w:r>
      <w:r w:rsidR="00607D5B" w:rsidRPr="00C00F2A">
        <w:rPr>
          <w:sz w:val="22"/>
          <w:szCs w:val="22"/>
        </w:rPr>
        <w:t xml:space="preserve"> </w:t>
      </w:r>
      <w:r w:rsidRPr="00C00F2A">
        <w:rPr>
          <w:sz w:val="22"/>
          <w:szCs w:val="22"/>
        </w:rPr>
        <w:t>položajima</w:t>
      </w:r>
      <w:r w:rsidR="007D72DF" w:rsidRPr="00C00F2A">
        <w:rPr>
          <w:sz w:val="22"/>
          <w:szCs w:val="22"/>
        </w:rPr>
        <w:t>,</w:t>
      </w:r>
      <w:r w:rsidRPr="00C00F2A">
        <w:rPr>
          <w:sz w:val="22"/>
          <w:szCs w:val="22"/>
        </w:rPr>
        <w:t xml:space="preserve"> kako bi se osigurala po</w:t>
      </w:r>
      <w:r w:rsidR="00333152" w:rsidRPr="00C00F2A">
        <w:rPr>
          <w:sz w:val="22"/>
          <w:szCs w:val="22"/>
        </w:rPr>
        <w:t>drška</w:t>
      </w:r>
      <w:r w:rsidRPr="00C00F2A">
        <w:rPr>
          <w:sz w:val="22"/>
          <w:szCs w:val="22"/>
        </w:rPr>
        <w:t xml:space="preserve"> lokalne zajednice za rehabilitaciju i socijalno</w:t>
      </w:r>
      <w:r w:rsidR="00607D5B" w:rsidRPr="00C00F2A">
        <w:rPr>
          <w:sz w:val="22"/>
          <w:szCs w:val="22"/>
        </w:rPr>
        <w:t xml:space="preserve"> </w:t>
      </w:r>
      <w:r w:rsidRPr="00C00F2A">
        <w:rPr>
          <w:sz w:val="22"/>
          <w:szCs w:val="22"/>
        </w:rPr>
        <w:t>uključivanje korisnika usluga.</w:t>
      </w:r>
    </w:p>
    <w:p w:rsidR="00E462DD" w:rsidRPr="00C00F2A" w:rsidRDefault="00E462DD" w:rsidP="004660E1">
      <w:pPr>
        <w:rPr>
          <w:sz w:val="22"/>
          <w:szCs w:val="22"/>
          <w:highlight w:val="yellow"/>
        </w:rPr>
      </w:pPr>
    </w:p>
    <w:p w:rsidR="00CE6D82" w:rsidRPr="00C00F2A" w:rsidRDefault="00CE6D82" w:rsidP="00746D1F">
      <w:pPr>
        <w:pStyle w:val="Heading3"/>
        <w:sectPr w:rsidR="00CE6D82" w:rsidRPr="00C00F2A">
          <w:pgSz w:w="12240" w:h="15840"/>
          <w:pgMar w:top="1440" w:right="1440" w:bottom="1440" w:left="1440" w:header="720" w:footer="720" w:gutter="0"/>
          <w:cols w:space="720"/>
          <w:docGrid w:linePitch="360"/>
        </w:sectPr>
      </w:pPr>
    </w:p>
    <w:p w:rsidR="00746D1F" w:rsidRPr="00C00F2A" w:rsidRDefault="00F61A90" w:rsidP="00746D1F">
      <w:pPr>
        <w:pStyle w:val="Heading3"/>
      </w:pPr>
      <w:bookmarkStart w:id="18" w:name="_Toc473540826"/>
      <w:r w:rsidRPr="00C00F2A">
        <w:lastRenderedPageBreak/>
        <w:t>Noviji prim</w:t>
      </w:r>
      <w:r w:rsidR="007D72DF" w:rsidRPr="00C00F2A">
        <w:t>J</w:t>
      </w:r>
      <w:r w:rsidRPr="00C00F2A">
        <w:t>eri deinstitucionalizacije</w:t>
      </w:r>
      <w:bookmarkEnd w:id="18"/>
    </w:p>
    <w:p w:rsidR="00E64BA2" w:rsidRPr="00C00F2A" w:rsidRDefault="00E20431" w:rsidP="00153C35">
      <w:pPr>
        <w:jc w:val="both"/>
        <w:rPr>
          <w:sz w:val="22"/>
          <w:szCs w:val="22"/>
        </w:rPr>
      </w:pPr>
      <w:r w:rsidRPr="00C00F2A">
        <w:rPr>
          <w:sz w:val="22"/>
          <w:szCs w:val="22"/>
        </w:rPr>
        <w:t xml:space="preserve">U takozvanim novim demokratijama, mahom zemljama koje su </w:t>
      </w:r>
      <w:r w:rsidR="005A539F" w:rsidRPr="00C00F2A">
        <w:rPr>
          <w:sz w:val="22"/>
          <w:szCs w:val="22"/>
        </w:rPr>
        <w:t>kasnije</w:t>
      </w:r>
      <w:r w:rsidRPr="00C00F2A">
        <w:rPr>
          <w:sz w:val="22"/>
          <w:szCs w:val="22"/>
        </w:rPr>
        <w:t xml:space="preserve"> postale članice Evropske unije</w:t>
      </w:r>
      <w:r w:rsidR="00503F38" w:rsidRPr="00C00F2A">
        <w:rPr>
          <w:sz w:val="22"/>
          <w:szCs w:val="22"/>
        </w:rPr>
        <w:t>,</w:t>
      </w:r>
      <w:r w:rsidRPr="00C00F2A">
        <w:rPr>
          <w:sz w:val="22"/>
          <w:szCs w:val="22"/>
        </w:rPr>
        <w:t xml:space="preserve"> proces reforme sistema mentalnog zdravlja, i uopšte brige o osobama sa invaliditetom, počeo je da se razvija u posl</w:t>
      </w:r>
      <w:r w:rsidR="005077F7" w:rsidRPr="00C00F2A">
        <w:rPr>
          <w:sz w:val="22"/>
          <w:szCs w:val="22"/>
        </w:rPr>
        <w:t>j</w:t>
      </w:r>
      <w:r w:rsidRPr="00C00F2A">
        <w:rPr>
          <w:sz w:val="22"/>
          <w:szCs w:val="22"/>
        </w:rPr>
        <w:t>ednjih dvadesetak godina. Ovaj proces reformi u velikoj m</w:t>
      </w:r>
      <w:r w:rsidR="005077F7" w:rsidRPr="00C00F2A">
        <w:rPr>
          <w:sz w:val="22"/>
          <w:szCs w:val="22"/>
        </w:rPr>
        <w:t>j</w:t>
      </w:r>
      <w:r w:rsidRPr="00C00F2A">
        <w:rPr>
          <w:sz w:val="22"/>
          <w:szCs w:val="22"/>
        </w:rPr>
        <w:t>eri prati šablon sličan onome</w:t>
      </w:r>
      <w:r w:rsidR="005077F7" w:rsidRPr="00C00F2A">
        <w:rPr>
          <w:sz w:val="22"/>
          <w:szCs w:val="22"/>
        </w:rPr>
        <w:t>,</w:t>
      </w:r>
      <w:r w:rsidRPr="00C00F2A">
        <w:rPr>
          <w:sz w:val="22"/>
          <w:szCs w:val="22"/>
        </w:rPr>
        <w:t xml:space="preserve"> koji je započe</w:t>
      </w:r>
      <w:r w:rsidR="00E64BA2" w:rsidRPr="00C00F2A">
        <w:rPr>
          <w:sz w:val="22"/>
          <w:szCs w:val="22"/>
        </w:rPr>
        <w:t>o</w:t>
      </w:r>
      <w:r w:rsidR="00503F38" w:rsidRPr="00C00F2A">
        <w:rPr>
          <w:sz w:val="22"/>
          <w:szCs w:val="22"/>
        </w:rPr>
        <w:t xml:space="preserve"> u</w:t>
      </w:r>
      <w:r w:rsidRPr="00C00F2A">
        <w:rPr>
          <w:sz w:val="22"/>
          <w:szCs w:val="22"/>
        </w:rPr>
        <w:t xml:space="preserve"> zemljama zapadne Evrope</w:t>
      </w:r>
      <w:r w:rsidR="00E64BA2" w:rsidRPr="00C00F2A">
        <w:rPr>
          <w:sz w:val="22"/>
          <w:szCs w:val="22"/>
        </w:rPr>
        <w:t xml:space="preserve"> </w:t>
      </w:r>
      <w:r w:rsidRPr="00C00F2A">
        <w:rPr>
          <w:sz w:val="22"/>
          <w:szCs w:val="22"/>
        </w:rPr>
        <w:t>pr</w:t>
      </w:r>
      <w:r w:rsidR="005077F7" w:rsidRPr="00C00F2A">
        <w:rPr>
          <w:sz w:val="22"/>
          <w:szCs w:val="22"/>
        </w:rPr>
        <w:t>ij</w:t>
      </w:r>
      <w:r w:rsidRPr="00C00F2A">
        <w:rPr>
          <w:sz w:val="22"/>
          <w:szCs w:val="22"/>
        </w:rPr>
        <w:t>e 50-60 godina</w:t>
      </w:r>
      <w:r w:rsidR="00E64BA2" w:rsidRPr="00C00F2A">
        <w:rPr>
          <w:sz w:val="22"/>
          <w:szCs w:val="22"/>
        </w:rPr>
        <w:t>.</w:t>
      </w:r>
    </w:p>
    <w:p w:rsidR="00E64BA2" w:rsidRPr="00C00F2A" w:rsidRDefault="002D35E6" w:rsidP="00153C35">
      <w:pPr>
        <w:jc w:val="both"/>
        <w:rPr>
          <w:sz w:val="22"/>
          <w:szCs w:val="22"/>
        </w:rPr>
      </w:pPr>
      <w:r w:rsidRPr="00C00F2A">
        <w:rPr>
          <w:sz w:val="22"/>
          <w:szCs w:val="22"/>
        </w:rPr>
        <w:t>Teško je odrediti tačan broj osoba koje se nalaze u psihijatrijskim bolnicama i drugim rezidencijalnim ustanovama za osobe sa mentalnim smetnjama, najčešće zbog neujednačenog načina prikupljanja podataka</w:t>
      </w:r>
      <w:r w:rsidR="00503F38" w:rsidRPr="00C00F2A">
        <w:rPr>
          <w:sz w:val="22"/>
          <w:szCs w:val="22"/>
        </w:rPr>
        <w:t>,</w:t>
      </w:r>
      <w:r w:rsidRPr="00C00F2A">
        <w:rPr>
          <w:sz w:val="22"/>
          <w:szCs w:val="22"/>
        </w:rPr>
        <w:t xml:space="preserve"> ukoliko evidencija uopšte postoji. Ipak, u većini </w:t>
      </w:r>
      <w:r w:rsidR="005A539F" w:rsidRPr="00C00F2A">
        <w:rPr>
          <w:sz w:val="22"/>
          <w:szCs w:val="22"/>
        </w:rPr>
        <w:t xml:space="preserve">ovih </w:t>
      </w:r>
      <w:r w:rsidR="005077F7" w:rsidRPr="00C00F2A">
        <w:rPr>
          <w:sz w:val="22"/>
          <w:szCs w:val="22"/>
        </w:rPr>
        <w:t>zemalja zabi</w:t>
      </w:r>
      <w:r w:rsidRPr="00C00F2A">
        <w:rPr>
          <w:sz w:val="22"/>
          <w:szCs w:val="22"/>
        </w:rPr>
        <w:t>l</w:t>
      </w:r>
      <w:r w:rsidR="005077F7" w:rsidRPr="00C00F2A">
        <w:rPr>
          <w:sz w:val="22"/>
          <w:szCs w:val="22"/>
        </w:rPr>
        <w:t>j</w:t>
      </w:r>
      <w:r w:rsidRPr="00C00F2A">
        <w:rPr>
          <w:sz w:val="22"/>
          <w:szCs w:val="22"/>
        </w:rPr>
        <w:t>ežen je trend smanjivanja ukupnog broja kreveta u velikim psihijatrijskim bolnicama</w:t>
      </w:r>
      <w:r w:rsidR="00E64BA2" w:rsidRPr="00C00F2A">
        <w:rPr>
          <w:sz w:val="22"/>
          <w:szCs w:val="22"/>
        </w:rPr>
        <w:t>.</w:t>
      </w:r>
    </w:p>
    <w:p w:rsidR="002D35E6" w:rsidRPr="00C00F2A" w:rsidRDefault="002D35E6" w:rsidP="00153C35">
      <w:pPr>
        <w:jc w:val="both"/>
        <w:rPr>
          <w:sz w:val="22"/>
          <w:szCs w:val="22"/>
        </w:rPr>
      </w:pPr>
      <w:r w:rsidRPr="00C00F2A">
        <w:rPr>
          <w:sz w:val="22"/>
          <w:szCs w:val="22"/>
        </w:rPr>
        <w:t>Nažalost, smanjenje kreveta nije uv</w:t>
      </w:r>
      <w:r w:rsidR="005077F7" w:rsidRPr="00C00F2A">
        <w:rPr>
          <w:sz w:val="22"/>
          <w:szCs w:val="22"/>
        </w:rPr>
        <w:t>ij</w:t>
      </w:r>
      <w:r w:rsidRPr="00C00F2A">
        <w:rPr>
          <w:sz w:val="22"/>
          <w:szCs w:val="22"/>
        </w:rPr>
        <w:t xml:space="preserve">ek praćeno razvojem servisa u zajednici. </w:t>
      </w:r>
      <w:r w:rsidR="00DE5C83" w:rsidRPr="00C00F2A">
        <w:rPr>
          <w:sz w:val="22"/>
          <w:szCs w:val="22"/>
        </w:rPr>
        <w:t>Najčešće, problem predstavlja način finansiranja</w:t>
      </w:r>
      <w:r w:rsidR="005077F7" w:rsidRPr="00C00F2A">
        <w:rPr>
          <w:sz w:val="22"/>
          <w:szCs w:val="22"/>
        </w:rPr>
        <w:t>,</w:t>
      </w:r>
      <w:r w:rsidR="00DE5C83" w:rsidRPr="00C00F2A">
        <w:rPr>
          <w:sz w:val="22"/>
          <w:szCs w:val="22"/>
        </w:rPr>
        <w:t xml:space="preserve"> jer se sreds</w:t>
      </w:r>
      <w:r w:rsidR="005077F7" w:rsidRPr="00C00F2A">
        <w:rPr>
          <w:sz w:val="22"/>
          <w:szCs w:val="22"/>
        </w:rPr>
        <w:t>t</w:t>
      </w:r>
      <w:r w:rsidR="00DE5C83" w:rsidRPr="00C00F2A">
        <w:rPr>
          <w:sz w:val="22"/>
          <w:szCs w:val="22"/>
        </w:rPr>
        <w:t>va usm</w:t>
      </w:r>
      <w:r w:rsidR="005077F7" w:rsidRPr="00C00F2A">
        <w:rPr>
          <w:sz w:val="22"/>
          <w:szCs w:val="22"/>
        </w:rPr>
        <w:t>j</w:t>
      </w:r>
      <w:r w:rsidR="00DE5C83" w:rsidRPr="00C00F2A">
        <w:rPr>
          <w:sz w:val="22"/>
          <w:szCs w:val="22"/>
        </w:rPr>
        <w:t>eravaju direktno psihijatrijskim bolnicama shodno popunjenom kapacitetu</w:t>
      </w:r>
      <w:r w:rsidR="005077F7" w:rsidRPr="00C00F2A">
        <w:rPr>
          <w:sz w:val="22"/>
          <w:szCs w:val="22"/>
        </w:rPr>
        <w:t>,</w:t>
      </w:r>
      <w:r w:rsidR="00DE5C83" w:rsidRPr="00C00F2A">
        <w:rPr>
          <w:sz w:val="22"/>
          <w:szCs w:val="22"/>
        </w:rPr>
        <w:t xml:space="preserve"> tj. broju kreveta.</w:t>
      </w:r>
      <w:r w:rsidR="00212755" w:rsidRPr="00C00F2A">
        <w:rPr>
          <w:sz w:val="22"/>
          <w:szCs w:val="22"/>
        </w:rPr>
        <w:t xml:space="preserve"> Ovakav način finansiranja nije fleksibilan</w:t>
      </w:r>
      <w:r w:rsidR="005077F7" w:rsidRPr="00C00F2A">
        <w:rPr>
          <w:sz w:val="22"/>
          <w:szCs w:val="22"/>
        </w:rPr>
        <w:t>,</w:t>
      </w:r>
      <w:r w:rsidR="00212755" w:rsidRPr="00C00F2A">
        <w:rPr>
          <w:sz w:val="22"/>
          <w:szCs w:val="22"/>
        </w:rPr>
        <w:t xml:space="preserve"> te otežava finan</w:t>
      </w:r>
      <w:r w:rsidR="0060115F" w:rsidRPr="00C00F2A">
        <w:rPr>
          <w:sz w:val="22"/>
          <w:szCs w:val="22"/>
        </w:rPr>
        <w:t xml:space="preserve">siranje novih </w:t>
      </w:r>
      <w:r w:rsidR="00212755" w:rsidRPr="00C00F2A">
        <w:rPr>
          <w:sz w:val="22"/>
          <w:szCs w:val="22"/>
        </w:rPr>
        <w:t>usluga</w:t>
      </w:r>
      <w:r w:rsidR="0060115F" w:rsidRPr="00C00F2A">
        <w:rPr>
          <w:sz w:val="22"/>
          <w:szCs w:val="22"/>
        </w:rPr>
        <w:t xml:space="preserve"> u zajednici</w:t>
      </w:r>
      <w:r w:rsidR="00212755" w:rsidRPr="00C00F2A">
        <w:rPr>
          <w:sz w:val="22"/>
          <w:szCs w:val="22"/>
        </w:rPr>
        <w:t>, naročito kada se on</w:t>
      </w:r>
      <w:r w:rsidR="0060115F" w:rsidRPr="00C00F2A">
        <w:rPr>
          <w:sz w:val="22"/>
          <w:szCs w:val="22"/>
        </w:rPr>
        <w:t>e</w:t>
      </w:r>
      <w:r w:rsidR="00212755" w:rsidRPr="00C00F2A">
        <w:rPr>
          <w:sz w:val="22"/>
          <w:szCs w:val="22"/>
        </w:rPr>
        <w:t xml:space="preserve"> razvijaju na lokalnom nivou.</w:t>
      </w:r>
    </w:p>
    <w:p w:rsidR="00636A72" w:rsidRPr="00C00F2A" w:rsidRDefault="002F43A5" w:rsidP="00153C35">
      <w:pPr>
        <w:jc w:val="both"/>
        <w:rPr>
          <w:sz w:val="22"/>
          <w:szCs w:val="22"/>
        </w:rPr>
      </w:pPr>
      <w:r w:rsidRPr="00C00F2A">
        <w:rPr>
          <w:sz w:val="22"/>
          <w:szCs w:val="22"/>
        </w:rPr>
        <w:t>Uprkos ovim preprekama došlo je do razvoja različitih servisa, poput centara za mentalno zdravlje u zajednici. Oni uglavnom variraju po veličini i vrstama usluga koje pružaju, ali imaju multidisciplinarne timove, rade po teritorijalnom principu i imaju individualizovan pristup. Ove servise su</w:t>
      </w:r>
      <w:r w:rsidR="000B5719" w:rsidRPr="00C00F2A">
        <w:rPr>
          <w:sz w:val="22"/>
          <w:szCs w:val="22"/>
        </w:rPr>
        <w:t>,</w:t>
      </w:r>
      <w:r w:rsidRPr="00C00F2A">
        <w:rPr>
          <w:sz w:val="22"/>
          <w:szCs w:val="22"/>
        </w:rPr>
        <w:t xml:space="preserve"> u većini slučajeva</w:t>
      </w:r>
      <w:r w:rsidR="000B5719" w:rsidRPr="00C00F2A">
        <w:rPr>
          <w:sz w:val="22"/>
          <w:szCs w:val="22"/>
        </w:rPr>
        <w:t>,</w:t>
      </w:r>
      <w:r w:rsidRPr="00C00F2A">
        <w:rPr>
          <w:sz w:val="22"/>
          <w:szCs w:val="22"/>
        </w:rPr>
        <w:t xml:space="preserve"> pokrenule nevladine organizacije koje često uključuju same korisnike i članove njihovih porodica. Loša strana je ta što one u velikoj m</w:t>
      </w:r>
      <w:r w:rsidR="000B5719" w:rsidRPr="00C00F2A">
        <w:rPr>
          <w:sz w:val="22"/>
          <w:szCs w:val="22"/>
        </w:rPr>
        <w:t>j</w:t>
      </w:r>
      <w:r w:rsidRPr="00C00F2A">
        <w:rPr>
          <w:sz w:val="22"/>
          <w:szCs w:val="22"/>
        </w:rPr>
        <w:t>eri zavise od entuzijazma i lične inicijative</w:t>
      </w:r>
      <w:r w:rsidR="000B5719" w:rsidRPr="00C00F2A">
        <w:rPr>
          <w:sz w:val="22"/>
          <w:szCs w:val="22"/>
        </w:rPr>
        <w:t>,</w:t>
      </w:r>
      <w:r w:rsidRPr="00C00F2A">
        <w:rPr>
          <w:sz w:val="22"/>
          <w:szCs w:val="22"/>
        </w:rPr>
        <w:t xml:space="preserve"> i nisu rezultat koordinisanog </w:t>
      </w:r>
      <w:r w:rsidR="00D73171" w:rsidRPr="00C00F2A">
        <w:rPr>
          <w:sz w:val="22"/>
          <w:szCs w:val="22"/>
        </w:rPr>
        <w:t>procesa sa jasnim strateškim opred</w:t>
      </w:r>
      <w:r w:rsidR="000B5719" w:rsidRPr="00C00F2A">
        <w:rPr>
          <w:sz w:val="22"/>
          <w:szCs w:val="22"/>
        </w:rPr>
        <w:t>j</w:t>
      </w:r>
      <w:r w:rsidR="00D73171" w:rsidRPr="00C00F2A">
        <w:rPr>
          <w:sz w:val="22"/>
          <w:szCs w:val="22"/>
        </w:rPr>
        <w:t>eljenjem</w:t>
      </w:r>
      <w:r w:rsidR="00CE6D82" w:rsidRPr="00C00F2A">
        <w:rPr>
          <w:sz w:val="22"/>
          <w:szCs w:val="22"/>
        </w:rPr>
        <w:t xml:space="preserve"> od strane države</w:t>
      </w:r>
      <w:r w:rsidR="00D73171" w:rsidRPr="00C00F2A">
        <w:rPr>
          <w:sz w:val="22"/>
          <w:szCs w:val="22"/>
        </w:rPr>
        <w:t>.</w:t>
      </w:r>
      <w:r w:rsidR="004760CF" w:rsidRPr="00C00F2A">
        <w:rPr>
          <w:sz w:val="22"/>
          <w:szCs w:val="22"/>
        </w:rPr>
        <w:t xml:space="preserve"> Zbog toga je zastupljenost ovih servisa neravnom</w:t>
      </w:r>
      <w:r w:rsidR="000B5719" w:rsidRPr="00C00F2A">
        <w:rPr>
          <w:sz w:val="22"/>
          <w:szCs w:val="22"/>
        </w:rPr>
        <w:t>j</w:t>
      </w:r>
      <w:r w:rsidR="004760CF" w:rsidRPr="00C00F2A">
        <w:rPr>
          <w:sz w:val="22"/>
          <w:szCs w:val="22"/>
        </w:rPr>
        <w:t>erna uz malo ili nimalo međusobne koordinacije</w:t>
      </w:r>
      <w:r w:rsidR="000B5719" w:rsidRPr="00C00F2A">
        <w:rPr>
          <w:sz w:val="22"/>
          <w:szCs w:val="22"/>
        </w:rPr>
        <w:t>,</w:t>
      </w:r>
      <w:r w:rsidR="004760CF" w:rsidRPr="00C00F2A">
        <w:rPr>
          <w:sz w:val="22"/>
          <w:szCs w:val="22"/>
        </w:rPr>
        <w:t xml:space="preserve"> usl</w:t>
      </w:r>
      <w:r w:rsidR="000B5719" w:rsidRPr="00C00F2A">
        <w:rPr>
          <w:sz w:val="22"/>
          <w:szCs w:val="22"/>
        </w:rPr>
        <w:t>ij</w:t>
      </w:r>
      <w:r w:rsidR="004760CF" w:rsidRPr="00C00F2A">
        <w:rPr>
          <w:sz w:val="22"/>
          <w:szCs w:val="22"/>
        </w:rPr>
        <w:t>ed čega nije uspostavljen kontinuitet podrške</w:t>
      </w:r>
      <w:r w:rsidR="00152271" w:rsidRPr="00C00F2A">
        <w:rPr>
          <w:sz w:val="22"/>
          <w:szCs w:val="22"/>
        </w:rPr>
        <w:t xml:space="preserve"> osobama sa mentalnim smetnjam</w:t>
      </w:r>
      <w:r w:rsidR="004760CF" w:rsidRPr="00C00F2A">
        <w:rPr>
          <w:sz w:val="22"/>
          <w:szCs w:val="22"/>
        </w:rPr>
        <w:t>a prilikom prelaska iz bolničkog okruženja nazad u zajednicu.</w:t>
      </w:r>
      <w:r w:rsidR="00636A72" w:rsidRPr="00C00F2A">
        <w:rPr>
          <w:sz w:val="22"/>
          <w:szCs w:val="22"/>
        </w:rPr>
        <w:t xml:space="preserve"> </w:t>
      </w:r>
    </w:p>
    <w:p w:rsidR="00B95B2B" w:rsidRPr="00C00F2A" w:rsidRDefault="00636A72" w:rsidP="00153C35">
      <w:pPr>
        <w:jc w:val="both"/>
        <w:rPr>
          <w:sz w:val="22"/>
          <w:szCs w:val="22"/>
        </w:rPr>
      </w:pPr>
      <w:r w:rsidRPr="00C00F2A">
        <w:rPr>
          <w:sz w:val="22"/>
          <w:szCs w:val="22"/>
        </w:rPr>
        <w:t>U pojedinim zemljama pojavili su se prim</w:t>
      </w:r>
      <w:r w:rsidR="000B5719" w:rsidRPr="00C00F2A">
        <w:rPr>
          <w:sz w:val="22"/>
          <w:szCs w:val="22"/>
        </w:rPr>
        <w:t>j</w:t>
      </w:r>
      <w:r w:rsidRPr="00C00F2A">
        <w:rPr>
          <w:sz w:val="22"/>
          <w:szCs w:val="22"/>
        </w:rPr>
        <w:t>eri više struktu</w:t>
      </w:r>
      <w:r w:rsidR="00CE6D82" w:rsidRPr="00C00F2A">
        <w:rPr>
          <w:sz w:val="22"/>
          <w:szCs w:val="22"/>
        </w:rPr>
        <w:t>r</w:t>
      </w:r>
      <w:r w:rsidRPr="00C00F2A">
        <w:rPr>
          <w:sz w:val="22"/>
          <w:szCs w:val="22"/>
        </w:rPr>
        <w:t>iranog procesa deinstitucionalizacije, koji se mahom odnose na oblast socijalne zaštite i stanovanja, a koji se u velikoj m</w:t>
      </w:r>
      <w:r w:rsidR="000B5719" w:rsidRPr="00C00F2A">
        <w:rPr>
          <w:sz w:val="22"/>
          <w:szCs w:val="22"/>
        </w:rPr>
        <w:t>j</w:t>
      </w:r>
      <w:r w:rsidRPr="00C00F2A">
        <w:rPr>
          <w:sz w:val="22"/>
          <w:szCs w:val="22"/>
        </w:rPr>
        <w:t>eri finansiraju iz fondova Evropske unije.</w:t>
      </w:r>
      <w:r w:rsidR="00864E07" w:rsidRPr="00C00F2A">
        <w:rPr>
          <w:sz w:val="22"/>
          <w:szCs w:val="22"/>
        </w:rPr>
        <w:t xml:space="preserve"> Ono što u velikoj m</w:t>
      </w:r>
      <w:r w:rsidR="004A2568" w:rsidRPr="00C00F2A">
        <w:rPr>
          <w:sz w:val="22"/>
          <w:szCs w:val="22"/>
        </w:rPr>
        <w:t>j</w:t>
      </w:r>
      <w:r w:rsidR="00864E07" w:rsidRPr="00C00F2A">
        <w:rPr>
          <w:sz w:val="22"/>
          <w:szCs w:val="22"/>
        </w:rPr>
        <w:t>eri karakteriše ove procese jeste slaba koordinacija</w:t>
      </w:r>
      <w:r w:rsidR="004A2568" w:rsidRPr="00C00F2A">
        <w:rPr>
          <w:sz w:val="22"/>
          <w:szCs w:val="22"/>
        </w:rPr>
        <w:t>,</w:t>
      </w:r>
      <w:r w:rsidR="00864E07" w:rsidRPr="00C00F2A">
        <w:rPr>
          <w:sz w:val="22"/>
          <w:szCs w:val="22"/>
        </w:rPr>
        <w:t xml:space="preserve"> tj. pod</w:t>
      </w:r>
      <w:r w:rsidR="004A2568" w:rsidRPr="00C00F2A">
        <w:rPr>
          <w:sz w:val="22"/>
          <w:szCs w:val="22"/>
        </w:rPr>
        <w:t>j</w:t>
      </w:r>
      <w:r w:rsidR="00864E07" w:rsidRPr="00C00F2A">
        <w:rPr>
          <w:sz w:val="22"/>
          <w:szCs w:val="22"/>
        </w:rPr>
        <w:t>ela zaduženja različitih resora što otežava prim</w:t>
      </w:r>
      <w:r w:rsidR="004A2568" w:rsidRPr="00C00F2A">
        <w:rPr>
          <w:sz w:val="22"/>
          <w:szCs w:val="22"/>
        </w:rPr>
        <w:t>j</w:t>
      </w:r>
      <w:r w:rsidR="00864E07" w:rsidRPr="00C00F2A">
        <w:rPr>
          <w:sz w:val="22"/>
          <w:szCs w:val="22"/>
        </w:rPr>
        <w:t>enu strateški</w:t>
      </w:r>
      <w:r w:rsidR="00DC2930" w:rsidRPr="00C00F2A">
        <w:rPr>
          <w:sz w:val="22"/>
          <w:szCs w:val="22"/>
        </w:rPr>
        <w:t>h</w:t>
      </w:r>
      <w:r w:rsidR="00864E07" w:rsidRPr="00C00F2A">
        <w:rPr>
          <w:sz w:val="22"/>
          <w:szCs w:val="22"/>
        </w:rPr>
        <w:t xml:space="preserve"> dokumenata, naročito kada je za nj</w:t>
      </w:r>
      <w:r w:rsidR="004A2568" w:rsidRPr="00C00F2A">
        <w:rPr>
          <w:sz w:val="22"/>
          <w:szCs w:val="22"/>
        </w:rPr>
        <w:t>i</w:t>
      </w:r>
      <w:r w:rsidR="00864E07" w:rsidRPr="00C00F2A">
        <w:rPr>
          <w:sz w:val="22"/>
          <w:szCs w:val="22"/>
        </w:rPr>
        <w:t>hovu implementaciju zaduženo jedno ministarstvo</w:t>
      </w:r>
      <w:r w:rsidR="00B95B2B" w:rsidRPr="00C00F2A">
        <w:rPr>
          <w:sz w:val="22"/>
          <w:szCs w:val="22"/>
        </w:rPr>
        <w:t>, najčešće ministarstvo socijalne zaštite</w:t>
      </w:r>
      <w:r w:rsidR="00864E07" w:rsidRPr="00C00F2A">
        <w:rPr>
          <w:sz w:val="22"/>
          <w:szCs w:val="22"/>
        </w:rPr>
        <w:t xml:space="preserve">. </w:t>
      </w:r>
    </w:p>
    <w:p w:rsidR="00B90489" w:rsidRDefault="00B90489" w:rsidP="00B95B2B">
      <w:pPr>
        <w:rPr>
          <w:sz w:val="22"/>
          <w:szCs w:val="22"/>
        </w:rPr>
      </w:pPr>
    </w:p>
    <w:p w:rsidR="00D32E1B" w:rsidRDefault="00D32E1B" w:rsidP="00B95B2B">
      <w:pPr>
        <w:rPr>
          <w:sz w:val="22"/>
          <w:szCs w:val="22"/>
        </w:rPr>
      </w:pPr>
    </w:p>
    <w:p w:rsidR="00D32E1B" w:rsidRDefault="00D32E1B" w:rsidP="00B95B2B">
      <w:pPr>
        <w:rPr>
          <w:sz w:val="22"/>
          <w:szCs w:val="22"/>
        </w:rPr>
      </w:pPr>
    </w:p>
    <w:p w:rsidR="00D32E1B" w:rsidRPr="00C00F2A" w:rsidRDefault="00D32E1B" w:rsidP="00B95B2B">
      <w:pPr>
        <w:rPr>
          <w:sz w:val="22"/>
          <w:szCs w:val="22"/>
        </w:rPr>
      </w:pPr>
    </w:p>
    <w:p w:rsidR="00B95B2B" w:rsidRPr="00C00F2A" w:rsidRDefault="00B95B2B" w:rsidP="00B95B2B">
      <w:pPr>
        <w:pStyle w:val="Heading5"/>
      </w:pPr>
      <w:r w:rsidRPr="00C00F2A">
        <w:lastRenderedPageBreak/>
        <w:t>Bugarska</w:t>
      </w:r>
      <w:r w:rsidR="008D25B3" w:rsidRPr="00C00F2A">
        <w:rPr>
          <w:rStyle w:val="FootnoteReference"/>
        </w:rPr>
        <w:footnoteReference w:id="22"/>
      </w:r>
    </w:p>
    <w:p w:rsidR="009D2F57" w:rsidRPr="00C00F2A" w:rsidRDefault="009D2F57" w:rsidP="00153C35">
      <w:pPr>
        <w:jc w:val="both"/>
        <w:rPr>
          <w:sz w:val="22"/>
          <w:szCs w:val="22"/>
        </w:rPr>
      </w:pPr>
      <w:r w:rsidRPr="00C00F2A">
        <w:rPr>
          <w:sz w:val="22"/>
          <w:szCs w:val="22"/>
        </w:rPr>
        <w:t>Bugarska Vlada je još 2001. godine prepoznala veliki značaj deinstitucionalizacije usvajanjem Nacionalne strategije za izjednačavanje mogućnosti osoba sa invaliditetom za period od 2001-2005</w:t>
      </w:r>
      <w:r w:rsidR="00496147" w:rsidRPr="00C00F2A">
        <w:rPr>
          <w:sz w:val="22"/>
          <w:szCs w:val="22"/>
        </w:rPr>
        <w:t>,</w:t>
      </w:r>
      <w:r w:rsidRPr="00C00F2A">
        <w:rPr>
          <w:sz w:val="22"/>
          <w:szCs w:val="22"/>
        </w:rPr>
        <w:t xml:space="preserve"> koja je </w:t>
      </w:r>
      <w:r w:rsidR="00496147" w:rsidRPr="00C00F2A">
        <w:rPr>
          <w:sz w:val="22"/>
          <w:szCs w:val="22"/>
        </w:rPr>
        <w:t xml:space="preserve">imala </w:t>
      </w:r>
      <w:r w:rsidRPr="00C00F2A">
        <w:rPr>
          <w:sz w:val="22"/>
          <w:szCs w:val="22"/>
        </w:rPr>
        <w:t>za cilj: osigurati prelazak sa institucionalne zaštite ka uslugama u zajednici putem prioritetnog razvoja alternativnih usluga i deinstitucionalizacije.</w:t>
      </w:r>
    </w:p>
    <w:p w:rsidR="009D2F57" w:rsidRPr="00C00F2A" w:rsidRDefault="009D2F57" w:rsidP="00153C35">
      <w:pPr>
        <w:jc w:val="both"/>
        <w:rPr>
          <w:sz w:val="22"/>
          <w:szCs w:val="22"/>
        </w:rPr>
      </w:pPr>
      <w:r w:rsidRPr="00C00F2A">
        <w:rPr>
          <w:sz w:val="22"/>
          <w:szCs w:val="22"/>
        </w:rPr>
        <w:t>Kasnije je 2008. godine usvojena Strategija za izjednačavanje mog</w:t>
      </w:r>
      <w:r w:rsidR="00152271" w:rsidRPr="00C00F2A">
        <w:rPr>
          <w:sz w:val="22"/>
          <w:szCs w:val="22"/>
        </w:rPr>
        <w:t>ućnosti osoba sa inva</w:t>
      </w:r>
      <w:r w:rsidR="00CE6D82" w:rsidRPr="00C00F2A">
        <w:rPr>
          <w:sz w:val="22"/>
          <w:szCs w:val="22"/>
        </w:rPr>
        <w:t xml:space="preserve">liditetom </w:t>
      </w:r>
      <w:r w:rsidRPr="00C00F2A">
        <w:rPr>
          <w:sz w:val="22"/>
          <w:szCs w:val="22"/>
        </w:rPr>
        <w:t>2008-2015</w:t>
      </w:r>
      <w:r w:rsidR="00CE6D82" w:rsidRPr="00C00F2A">
        <w:rPr>
          <w:sz w:val="22"/>
          <w:szCs w:val="22"/>
        </w:rPr>
        <w:t>, sa fo</w:t>
      </w:r>
      <w:r w:rsidRPr="00C00F2A">
        <w:rPr>
          <w:sz w:val="22"/>
          <w:szCs w:val="22"/>
        </w:rPr>
        <w:t>kusom na „restrukturiranje specijalizovanih institucija i njihovu transformaciju u različite vrste usluga socijalne zaštite u zajednici“. Taj proces je podržan usvajanjem Zakona o socijalnoj pomoći 2008. godine. Ovaj zakon opštinama daje punu nadležnost za pružanje socijalnih usluga. Kao rezultat toga, pojavio se veliki broj novih servisa, uz postojeće tradicionalne, za koje je obezb</w:t>
      </w:r>
      <w:r w:rsidR="008E6549" w:rsidRPr="00C00F2A">
        <w:rPr>
          <w:sz w:val="22"/>
          <w:szCs w:val="22"/>
        </w:rPr>
        <w:t>ij</w:t>
      </w:r>
      <w:r w:rsidRPr="00C00F2A">
        <w:rPr>
          <w:sz w:val="22"/>
          <w:szCs w:val="22"/>
        </w:rPr>
        <w:t xml:space="preserve">eđeno finansiranje iz budžeta. Opštine mogu ili direktno upravljati uslugom ili delegirati vođenje usluge drugoj organizaciji koja je registrovani pružalac usluga. </w:t>
      </w:r>
    </w:p>
    <w:p w:rsidR="00580828" w:rsidRPr="00C00F2A" w:rsidRDefault="009D2F57" w:rsidP="00153C35">
      <w:pPr>
        <w:jc w:val="both"/>
        <w:rPr>
          <w:sz w:val="22"/>
          <w:szCs w:val="22"/>
        </w:rPr>
      </w:pPr>
      <w:r w:rsidRPr="00C00F2A">
        <w:rPr>
          <w:sz w:val="22"/>
          <w:szCs w:val="22"/>
        </w:rPr>
        <w:t xml:space="preserve">U januaru </w:t>
      </w:r>
      <w:r w:rsidR="006C3B37" w:rsidRPr="00C00F2A">
        <w:rPr>
          <w:sz w:val="22"/>
          <w:szCs w:val="22"/>
        </w:rPr>
        <w:t xml:space="preserve">2014. godine </w:t>
      </w:r>
      <w:r w:rsidRPr="00C00F2A">
        <w:rPr>
          <w:sz w:val="22"/>
          <w:szCs w:val="22"/>
        </w:rPr>
        <w:t xml:space="preserve">bugarska Vlada je </w:t>
      </w:r>
      <w:r w:rsidR="006C3B37" w:rsidRPr="00C00F2A">
        <w:rPr>
          <w:sz w:val="22"/>
          <w:szCs w:val="22"/>
        </w:rPr>
        <w:t>usvojila Nacionalnu strategiju za dugoročnu n</w:t>
      </w:r>
      <w:r w:rsidR="008E6549" w:rsidRPr="00C00F2A">
        <w:rPr>
          <w:sz w:val="22"/>
          <w:szCs w:val="22"/>
        </w:rPr>
        <w:t>j</w:t>
      </w:r>
      <w:r w:rsidR="006C3B37" w:rsidRPr="00C00F2A">
        <w:rPr>
          <w:sz w:val="22"/>
          <w:szCs w:val="22"/>
        </w:rPr>
        <w:t>egu</w:t>
      </w:r>
      <w:r w:rsidR="00511A0E" w:rsidRPr="00C00F2A">
        <w:rPr>
          <w:rStyle w:val="FootnoteReference"/>
          <w:sz w:val="22"/>
          <w:szCs w:val="22"/>
        </w:rPr>
        <w:footnoteReference w:id="23"/>
      </w:r>
      <w:r w:rsidR="00511A0E" w:rsidRPr="00C00F2A">
        <w:rPr>
          <w:sz w:val="22"/>
          <w:szCs w:val="22"/>
        </w:rPr>
        <w:t xml:space="preserve"> koja se tiče odraslih osoba</w:t>
      </w:r>
      <w:r w:rsidR="006C3B37" w:rsidRPr="00C00F2A">
        <w:rPr>
          <w:sz w:val="22"/>
          <w:szCs w:val="22"/>
        </w:rPr>
        <w:t>.</w:t>
      </w:r>
      <w:r w:rsidR="00DE7B24" w:rsidRPr="00C00F2A">
        <w:rPr>
          <w:sz w:val="22"/>
          <w:szCs w:val="22"/>
        </w:rPr>
        <w:t xml:space="preserve"> </w:t>
      </w:r>
      <w:r w:rsidR="008D25B3" w:rsidRPr="00C00F2A">
        <w:rPr>
          <w:sz w:val="22"/>
          <w:szCs w:val="22"/>
        </w:rPr>
        <w:t>Poput strateškog dokumenta za d</w:t>
      </w:r>
      <w:r w:rsidR="008E6549" w:rsidRPr="00C00F2A">
        <w:rPr>
          <w:sz w:val="22"/>
          <w:szCs w:val="22"/>
        </w:rPr>
        <w:t>j</w:t>
      </w:r>
      <w:r w:rsidR="008D25B3" w:rsidRPr="00C00F2A">
        <w:rPr>
          <w:sz w:val="22"/>
          <w:szCs w:val="22"/>
        </w:rPr>
        <w:t>ecu</w:t>
      </w:r>
      <w:r w:rsidR="008E6549" w:rsidRPr="00C00F2A">
        <w:rPr>
          <w:sz w:val="22"/>
          <w:szCs w:val="22"/>
        </w:rPr>
        <w:t>,</w:t>
      </w:r>
      <w:r w:rsidR="008D25B3" w:rsidRPr="00C00F2A">
        <w:rPr>
          <w:sz w:val="22"/>
          <w:szCs w:val="22"/>
        </w:rPr>
        <w:t xml:space="preserve"> i ova strategija predviđa da je za proces implementacije odgovaran Sav</w:t>
      </w:r>
      <w:r w:rsidR="008E6549" w:rsidRPr="00C00F2A">
        <w:rPr>
          <w:sz w:val="22"/>
          <w:szCs w:val="22"/>
        </w:rPr>
        <w:t>j</w:t>
      </w:r>
      <w:r w:rsidR="008D25B3" w:rsidRPr="00C00F2A">
        <w:rPr>
          <w:sz w:val="22"/>
          <w:szCs w:val="22"/>
        </w:rPr>
        <w:t xml:space="preserve">et ministara. </w:t>
      </w:r>
      <w:r w:rsidR="006C3B37" w:rsidRPr="00C00F2A">
        <w:rPr>
          <w:sz w:val="22"/>
          <w:szCs w:val="22"/>
        </w:rPr>
        <w:t>Strategija je usvojena kao odgovor na ključna pitanja</w:t>
      </w:r>
      <w:r w:rsidR="008E6549" w:rsidRPr="00C00F2A">
        <w:rPr>
          <w:sz w:val="22"/>
          <w:szCs w:val="22"/>
        </w:rPr>
        <w:t>,</w:t>
      </w:r>
      <w:r w:rsidR="006C3B37" w:rsidRPr="00C00F2A">
        <w:rPr>
          <w:sz w:val="22"/>
          <w:szCs w:val="22"/>
        </w:rPr>
        <w:t xml:space="preserve"> sadržanim u Konvenciji o pravima osoba sa invaliditetom i Opcionom protokolu, Evropskoj konvenciji o ljudskim pravima, Evropskoj socijalnoj povelji i drugim međunarodnim dokumentima</w:t>
      </w:r>
      <w:r w:rsidR="00580828" w:rsidRPr="00C00F2A">
        <w:rPr>
          <w:sz w:val="22"/>
          <w:szCs w:val="22"/>
        </w:rPr>
        <w:t>.</w:t>
      </w:r>
      <w:r w:rsidR="00496147" w:rsidRPr="00C00F2A">
        <w:rPr>
          <w:sz w:val="22"/>
          <w:szCs w:val="22"/>
        </w:rPr>
        <w:t xml:space="preserve"> </w:t>
      </w:r>
      <w:r w:rsidR="006C3B37" w:rsidRPr="00C00F2A">
        <w:rPr>
          <w:sz w:val="22"/>
          <w:szCs w:val="22"/>
        </w:rPr>
        <w:t>Strategija definiše deinstitucionalizaciju kao bilateralan proces koji uključuje zatvaranje ili tr</w:t>
      </w:r>
      <w:r w:rsidRPr="00C00F2A">
        <w:rPr>
          <w:sz w:val="22"/>
          <w:szCs w:val="22"/>
        </w:rPr>
        <w:t>a</w:t>
      </w:r>
      <w:r w:rsidR="006C3B37" w:rsidRPr="00C00F2A">
        <w:rPr>
          <w:sz w:val="22"/>
          <w:szCs w:val="22"/>
        </w:rPr>
        <w:t xml:space="preserve">nsformaciju postojećih specijalizovanih ustanova i razvoj alternativnih usluga za brigu u zajednici za odrasle osobe. Deinstitucionalizacija </w:t>
      </w:r>
      <w:r w:rsidRPr="00C00F2A">
        <w:rPr>
          <w:sz w:val="22"/>
          <w:szCs w:val="22"/>
        </w:rPr>
        <w:t>treba da bude</w:t>
      </w:r>
      <w:r w:rsidR="006C3B37" w:rsidRPr="00C00F2A">
        <w:rPr>
          <w:sz w:val="22"/>
          <w:szCs w:val="22"/>
        </w:rPr>
        <w:t xml:space="preserve"> fokusirana na razvoj mreže usluga </w:t>
      </w:r>
      <w:r w:rsidR="008D25B3" w:rsidRPr="00C00F2A">
        <w:rPr>
          <w:sz w:val="22"/>
          <w:szCs w:val="22"/>
        </w:rPr>
        <w:t xml:space="preserve">koje se pružaju u </w:t>
      </w:r>
      <w:r w:rsidR="006C3B37" w:rsidRPr="00C00F2A">
        <w:rPr>
          <w:sz w:val="22"/>
          <w:szCs w:val="22"/>
        </w:rPr>
        <w:t xml:space="preserve">zajednici </w:t>
      </w:r>
      <w:r w:rsidR="008D25B3" w:rsidRPr="00C00F2A">
        <w:rPr>
          <w:sz w:val="22"/>
          <w:szCs w:val="22"/>
        </w:rPr>
        <w:t xml:space="preserve">ili porodici (kući) </w:t>
      </w:r>
      <w:r w:rsidR="006C3B37" w:rsidRPr="00C00F2A">
        <w:rPr>
          <w:sz w:val="22"/>
          <w:szCs w:val="22"/>
        </w:rPr>
        <w:t xml:space="preserve">za odrasle osobe sa invaliditetom, uključujući one sa problemima mentalnog zdravlja, sa ciljem </w:t>
      </w:r>
      <w:r w:rsidR="00A97043" w:rsidRPr="00C00F2A">
        <w:rPr>
          <w:sz w:val="22"/>
          <w:szCs w:val="22"/>
        </w:rPr>
        <w:t>pružanja podrške njihovom samostalnom životu i uključivanj</w:t>
      </w:r>
      <w:r w:rsidR="008D25B3" w:rsidRPr="00C00F2A">
        <w:rPr>
          <w:sz w:val="22"/>
          <w:szCs w:val="22"/>
        </w:rPr>
        <w:t>u</w:t>
      </w:r>
      <w:r w:rsidR="00A97043" w:rsidRPr="00C00F2A">
        <w:rPr>
          <w:sz w:val="22"/>
          <w:szCs w:val="22"/>
        </w:rPr>
        <w:t xml:space="preserve"> u društvo. </w:t>
      </w:r>
    </w:p>
    <w:p w:rsidR="00580828" w:rsidRPr="00C00F2A" w:rsidRDefault="008D25B3" w:rsidP="00153C35">
      <w:pPr>
        <w:jc w:val="both"/>
        <w:rPr>
          <w:sz w:val="22"/>
          <w:szCs w:val="22"/>
        </w:rPr>
      </w:pPr>
      <w:r w:rsidRPr="00C00F2A">
        <w:rPr>
          <w:sz w:val="22"/>
          <w:szCs w:val="22"/>
        </w:rPr>
        <w:t>Specifični ciljevi Strategije su:</w:t>
      </w:r>
    </w:p>
    <w:p w:rsidR="00580828" w:rsidRPr="00C00F2A" w:rsidRDefault="00511A0E" w:rsidP="00153C35">
      <w:pPr>
        <w:pStyle w:val="ListParagraph"/>
        <w:numPr>
          <w:ilvl w:val="0"/>
          <w:numId w:val="25"/>
        </w:numPr>
        <w:jc w:val="both"/>
        <w:rPr>
          <w:sz w:val="22"/>
          <w:szCs w:val="22"/>
        </w:rPr>
      </w:pPr>
      <w:r w:rsidRPr="00C00F2A">
        <w:rPr>
          <w:sz w:val="22"/>
          <w:szCs w:val="22"/>
        </w:rPr>
        <w:t>Razvoj i pružanje socijalnih usluga u zajednici koje su adekvatne u odnosu na potrebe osoba sa invaliditetom i unapređenje kvaliteta postojećih usluga. Razvoj mobilnih usluga koje će se pružati korisnicima u njihovom kućnom/porodičnom okruženju</w:t>
      </w:r>
      <w:r w:rsidR="00580828" w:rsidRPr="00C00F2A">
        <w:rPr>
          <w:sz w:val="22"/>
          <w:szCs w:val="22"/>
        </w:rPr>
        <w:t>;</w:t>
      </w:r>
    </w:p>
    <w:p w:rsidR="00580828" w:rsidRPr="00C00F2A" w:rsidRDefault="00511A0E" w:rsidP="00153C35">
      <w:pPr>
        <w:pStyle w:val="ListParagraph"/>
        <w:numPr>
          <w:ilvl w:val="0"/>
          <w:numId w:val="25"/>
        </w:numPr>
        <w:jc w:val="both"/>
        <w:rPr>
          <w:sz w:val="22"/>
          <w:szCs w:val="22"/>
        </w:rPr>
      </w:pPr>
      <w:r w:rsidRPr="00C00F2A">
        <w:rPr>
          <w:sz w:val="22"/>
          <w:szCs w:val="22"/>
        </w:rPr>
        <w:t>Urediti zakonom širok spektar stacionarnih, mobilnih i integrisanih usluga za odrasle osobe sa invaliditetom i njihove porodice</w:t>
      </w:r>
      <w:r w:rsidR="00580828" w:rsidRPr="00C00F2A">
        <w:rPr>
          <w:sz w:val="22"/>
          <w:szCs w:val="22"/>
        </w:rPr>
        <w:t>;</w:t>
      </w:r>
    </w:p>
    <w:p w:rsidR="00580828" w:rsidRPr="00C00F2A" w:rsidRDefault="00511A0E" w:rsidP="00153C35">
      <w:pPr>
        <w:pStyle w:val="ListParagraph"/>
        <w:numPr>
          <w:ilvl w:val="0"/>
          <w:numId w:val="25"/>
        </w:numPr>
        <w:jc w:val="both"/>
        <w:rPr>
          <w:sz w:val="22"/>
          <w:szCs w:val="22"/>
        </w:rPr>
      </w:pPr>
      <w:r w:rsidRPr="00C00F2A">
        <w:rPr>
          <w:sz w:val="22"/>
          <w:szCs w:val="22"/>
        </w:rPr>
        <w:t>Obezb</w:t>
      </w:r>
      <w:r w:rsidR="00FC434A" w:rsidRPr="00C00F2A">
        <w:rPr>
          <w:sz w:val="22"/>
          <w:szCs w:val="22"/>
        </w:rPr>
        <w:t>ij</w:t>
      </w:r>
      <w:r w:rsidRPr="00C00F2A">
        <w:rPr>
          <w:sz w:val="22"/>
          <w:szCs w:val="22"/>
        </w:rPr>
        <w:t>editi održivost usluga dugoročne n</w:t>
      </w:r>
      <w:r w:rsidR="00FC434A" w:rsidRPr="00C00F2A">
        <w:rPr>
          <w:sz w:val="22"/>
          <w:szCs w:val="22"/>
        </w:rPr>
        <w:t>j</w:t>
      </w:r>
      <w:r w:rsidRPr="00C00F2A">
        <w:rPr>
          <w:sz w:val="22"/>
          <w:szCs w:val="22"/>
        </w:rPr>
        <w:t>ege</w:t>
      </w:r>
      <w:r w:rsidR="00580828" w:rsidRPr="00C00F2A">
        <w:rPr>
          <w:sz w:val="22"/>
          <w:szCs w:val="22"/>
        </w:rPr>
        <w:t>;</w:t>
      </w:r>
    </w:p>
    <w:p w:rsidR="00580828" w:rsidRPr="00C00F2A" w:rsidRDefault="00511A0E" w:rsidP="00153C35">
      <w:pPr>
        <w:pStyle w:val="ListParagraph"/>
        <w:numPr>
          <w:ilvl w:val="0"/>
          <w:numId w:val="25"/>
        </w:numPr>
        <w:jc w:val="both"/>
        <w:rPr>
          <w:sz w:val="22"/>
          <w:szCs w:val="22"/>
        </w:rPr>
      </w:pPr>
      <w:r w:rsidRPr="00C00F2A">
        <w:rPr>
          <w:sz w:val="22"/>
          <w:szCs w:val="22"/>
        </w:rPr>
        <w:t>Unapr</w:t>
      </w:r>
      <w:r w:rsidR="00FC434A" w:rsidRPr="00C00F2A">
        <w:rPr>
          <w:sz w:val="22"/>
          <w:szCs w:val="22"/>
        </w:rPr>
        <w:t>ij</w:t>
      </w:r>
      <w:r w:rsidRPr="00C00F2A">
        <w:rPr>
          <w:sz w:val="22"/>
          <w:szCs w:val="22"/>
        </w:rPr>
        <w:t>editi koordinaciju između sektora socijalne i zdravstvene zaštite</w:t>
      </w:r>
      <w:r w:rsidR="00580828" w:rsidRPr="00C00F2A">
        <w:rPr>
          <w:sz w:val="22"/>
          <w:szCs w:val="22"/>
        </w:rPr>
        <w:t>;</w:t>
      </w:r>
    </w:p>
    <w:p w:rsidR="00580828" w:rsidRPr="00C00F2A" w:rsidRDefault="00511A0E" w:rsidP="00153C35">
      <w:pPr>
        <w:pStyle w:val="ListParagraph"/>
        <w:numPr>
          <w:ilvl w:val="0"/>
          <w:numId w:val="25"/>
        </w:numPr>
        <w:jc w:val="both"/>
        <w:rPr>
          <w:sz w:val="22"/>
          <w:szCs w:val="22"/>
        </w:rPr>
      </w:pPr>
      <w:r w:rsidRPr="00C00F2A">
        <w:rPr>
          <w:sz w:val="22"/>
          <w:szCs w:val="22"/>
        </w:rPr>
        <w:t xml:space="preserve">Postepeno </w:t>
      </w:r>
      <w:r w:rsidR="006C2A46" w:rsidRPr="00C00F2A">
        <w:rPr>
          <w:sz w:val="22"/>
          <w:szCs w:val="22"/>
        </w:rPr>
        <w:t xml:space="preserve">(korak-po-korak) </w:t>
      </w:r>
      <w:r w:rsidRPr="00C00F2A">
        <w:rPr>
          <w:sz w:val="22"/>
          <w:szCs w:val="22"/>
        </w:rPr>
        <w:t>zatvaranje i transformacija postojećih specijalizovanih ustanova za odrasle osobe sa invaliditetom</w:t>
      </w:r>
      <w:r w:rsidR="006C2A46" w:rsidRPr="00C00F2A">
        <w:rPr>
          <w:sz w:val="22"/>
          <w:szCs w:val="22"/>
        </w:rPr>
        <w:t>;</w:t>
      </w:r>
    </w:p>
    <w:p w:rsidR="006C2A46" w:rsidRPr="00C00F2A" w:rsidRDefault="006C2A46" w:rsidP="00153C35">
      <w:pPr>
        <w:pStyle w:val="ListParagraph"/>
        <w:numPr>
          <w:ilvl w:val="0"/>
          <w:numId w:val="25"/>
        </w:numPr>
        <w:jc w:val="both"/>
        <w:rPr>
          <w:sz w:val="22"/>
          <w:szCs w:val="22"/>
        </w:rPr>
      </w:pPr>
      <w:r w:rsidRPr="00C00F2A">
        <w:rPr>
          <w:sz w:val="22"/>
          <w:szCs w:val="22"/>
        </w:rPr>
        <w:lastRenderedPageBreak/>
        <w:t>Postepena (korak-po-korak) reforma postojećeg zdravstvenog sistema za osobe sa problemima mentalnog zdravlja, deinstitucionalizacija zdravstvene zaštite kroz razvoj inovativnih servisa za osobe sa psiho-socijalnim teškoćama i odrasle osobe kojima je potrebna palijativna n</w:t>
      </w:r>
      <w:r w:rsidR="00FC434A" w:rsidRPr="00C00F2A">
        <w:rPr>
          <w:sz w:val="22"/>
          <w:szCs w:val="22"/>
        </w:rPr>
        <w:t>j</w:t>
      </w:r>
      <w:r w:rsidRPr="00C00F2A">
        <w:rPr>
          <w:sz w:val="22"/>
          <w:szCs w:val="22"/>
        </w:rPr>
        <w:t>ega.</w:t>
      </w:r>
    </w:p>
    <w:p w:rsidR="00580828" w:rsidRPr="00C00F2A" w:rsidRDefault="003F77F3" w:rsidP="00153C35">
      <w:pPr>
        <w:jc w:val="both"/>
        <w:rPr>
          <w:sz w:val="22"/>
          <w:szCs w:val="22"/>
        </w:rPr>
      </w:pPr>
      <w:r w:rsidRPr="00C00F2A">
        <w:rPr>
          <w:sz w:val="22"/>
          <w:szCs w:val="22"/>
        </w:rPr>
        <w:t xml:space="preserve">Strategija je zasnovana na principima i pristupu Dobrovoljnog evropskog okvira za kvalitet socijalnih usluga </w:t>
      </w:r>
      <w:r w:rsidRPr="00C00F2A">
        <w:rPr>
          <w:i/>
          <w:sz w:val="22"/>
          <w:szCs w:val="22"/>
        </w:rPr>
        <w:t>(Voluntary European Quality</w:t>
      </w:r>
      <w:r w:rsidR="00580828" w:rsidRPr="00C00F2A">
        <w:rPr>
          <w:i/>
          <w:sz w:val="22"/>
          <w:szCs w:val="22"/>
        </w:rPr>
        <w:t xml:space="preserve"> F</w:t>
      </w:r>
      <w:r w:rsidRPr="00C00F2A">
        <w:rPr>
          <w:i/>
          <w:sz w:val="22"/>
          <w:szCs w:val="22"/>
        </w:rPr>
        <w:t>ramework</w:t>
      </w:r>
      <w:r w:rsidR="00580828" w:rsidRPr="00C00F2A">
        <w:rPr>
          <w:i/>
          <w:sz w:val="22"/>
          <w:szCs w:val="22"/>
        </w:rPr>
        <w:t xml:space="preserve"> </w:t>
      </w:r>
      <w:r w:rsidRPr="00C00F2A">
        <w:rPr>
          <w:i/>
          <w:sz w:val="22"/>
          <w:szCs w:val="22"/>
        </w:rPr>
        <w:t>for</w:t>
      </w:r>
      <w:r w:rsidR="00580828" w:rsidRPr="00C00F2A">
        <w:rPr>
          <w:i/>
          <w:sz w:val="22"/>
          <w:szCs w:val="22"/>
        </w:rPr>
        <w:t xml:space="preserve"> S</w:t>
      </w:r>
      <w:r w:rsidR="002716D3" w:rsidRPr="00C00F2A">
        <w:rPr>
          <w:i/>
          <w:sz w:val="22"/>
          <w:szCs w:val="22"/>
        </w:rPr>
        <w:t>oc</w:t>
      </w:r>
      <w:r w:rsidRPr="00C00F2A">
        <w:rPr>
          <w:i/>
          <w:sz w:val="22"/>
          <w:szCs w:val="22"/>
        </w:rPr>
        <w:t>ial</w:t>
      </w:r>
      <w:r w:rsidR="00580828" w:rsidRPr="00C00F2A">
        <w:rPr>
          <w:i/>
          <w:sz w:val="22"/>
          <w:szCs w:val="22"/>
        </w:rPr>
        <w:t xml:space="preserve"> S</w:t>
      </w:r>
      <w:r w:rsidRPr="00C00F2A">
        <w:rPr>
          <w:i/>
          <w:sz w:val="22"/>
          <w:szCs w:val="22"/>
        </w:rPr>
        <w:t>ervices)</w:t>
      </w:r>
      <w:r w:rsidRPr="00C00F2A">
        <w:rPr>
          <w:rStyle w:val="FootnoteReference"/>
          <w:i/>
          <w:sz w:val="22"/>
          <w:szCs w:val="22"/>
        </w:rPr>
        <w:footnoteReference w:id="24"/>
      </w:r>
      <w:r w:rsidRPr="00C00F2A">
        <w:rPr>
          <w:sz w:val="22"/>
          <w:szCs w:val="22"/>
        </w:rPr>
        <w:t>.</w:t>
      </w:r>
    </w:p>
    <w:p w:rsidR="007107FB" w:rsidRPr="00C00F2A" w:rsidRDefault="007107FB" w:rsidP="00153C35">
      <w:pPr>
        <w:jc w:val="both"/>
        <w:rPr>
          <w:sz w:val="22"/>
          <w:szCs w:val="22"/>
        </w:rPr>
      </w:pPr>
      <w:r w:rsidRPr="00C00F2A">
        <w:rPr>
          <w:sz w:val="22"/>
          <w:szCs w:val="22"/>
        </w:rPr>
        <w:t>Iako je de</w:t>
      </w:r>
      <w:r w:rsidR="00FC434A" w:rsidRPr="00C00F2A">
        <w:rPr>
          <w:sz w:val="22"/>
          <w:szCs w:val="22"/>
        </w:rPr>
        <w:t>institucionalizacija sastavni di</w:t>
      </w:r>
      <w:r w:rsidRPr="00C00F2A">
        <w:rPr>
          <w:sz w:val="22"/>
          <w:szCs w:val="22"/>
        </w:rPr>
        <w:t>o ove strategije</w:t>
      </w:r>
      <w:r w:rsidR="00FC434A" w:rsidRPr="00C00F2A">
        <w:rPr>
          <w:sz w:val="22"/>
          <w:szCs w:val="22"/>
        </w:rPr>
        <w:t>,</w:t>
      </w:r>
      <w:r w:rsidRPr="00C00F2A">
        <w:rPr>
          <w:sz w:val="22"/>
          <w:szCs w:val="22"/>
        </w:rPr>
        <w:t xml:space="preserve"> stiče se</w:t>
      </w:r>
      <w:r w:rsidR="002716D3" w:rsidRPr="00C00F2A">
        <w:rPr>
          <w:sz w:val="22"/>
          <w:szCs w:val="22"/>
        </w:rPr>
        <w:t xml:space="preserve"> utisak da ona nije primarni fok</w:t>
      </w:r>
      <w:r w:rsidRPr="00C00F2A">
        <w:rPr>
          <w:sz w:val="22"/>
          <w:szCs w:val="22"/>
        </w:rPr>
        <w:t>us ovog dokumenta. U njoj se još uv</w:t>
      </w:r>
      <w:r w:rsidR="00FC434A" w:rsidRPr="00C00F2A">
        <w:rPr>
          <w:sz w:val="22"/>
          <w:szCs w:val="22"/>
        </w:rPr>
        <w:t>ij</w:t>
      </w:r>
      <w:r w:rsidRPr="00C00F2A">
        <w:rPr>
          <w:sz w:val="22"/>
          <w:szCs w:val="22"/>
        </w:rPr>
        <w:t xml:space="preserve">ek navodi : … </w:t>
      </w:r>
      <w:r w:rsidRPr="00C00F2A">
        <w:rPr>
          <w:i/>
          <w:sz w:val="22"/>
          <w:szCs w:val="22"/>
        </w:rPr>
        <w:t>u narednih 20 godina… širenje mreže usluga… će dovesti do zatvaranja svih specijalnih institucija za odrasle i osobe sa invaliditetom s obzirom da su funkcionalno zastar</w:t>
      </w:r>
      <w:r w:rsidR="00FC434A" w:rsidRPr="00C00F2A">
        <w:rPr>
          <w:i/>
          <w:sz w:val="22"/>
          <w:szCs w:val="22"/>
        </w:rPr>
        <w:t>j</w:t>
      </w:r>
      <w:r w:rsidRPr="00C00F2A">
        <w:rPr>
          <w:i/>
          <w:sz w:val="22"/>
          <w:szCs w:val="22"/>
        </w:rPr>
        <w:t>ele i da nisu uskladu sa stvarnim potrebama ciljnih grupa</w:t>
      </w:r>
      <w:r w:rsidRPr="00C00F2A">
        <w:rPr>
          <w:sz w:val="22"/>
          <w:szCs w:val="22"/>
        </w:rPr>
        <w:t>.</w:t>
      </w:r>
      <w:r w:rsidR="00B90489" w:rsidRPr="00C00F2A">
        <w:rPr>
          <w:rStyle w:val="FootnoteReference"/>
          <w:sz w:val="22"/>
          <w:szCs w:val="22"/>
        </w:rPr>
        <w:footnoteReference w:id="25"/>
      </w:r>
    </w:p>
    <w:p w:rsidR="007107FB" w:rsidRPr="00C00F2A" w:rsidRDefault="007107FB" w:rsidP="00153C35">
      <w:pPr>
        <w:jc w:val="both"/>
        <w:rPr>
          <w:sz w:val="22"/>
          <w:szCs w:val="22"/>
        </w:rPr>
      </w:pPr>
      <w:r w:rsidRPr="00C00F2A">
        <w:rPr>
          <w:sz w:val="22"/>
          <w:szCs w:val="22"/>
        </w:rPr>
        <w:t>Uprkos postojećem razvoju usluga, uglavnom u manjim lokalnim sredinama, usluge u zajednici za osobe sa mentalnim smetnjama i dalje prevashodno pružaju rezidencijalne ustanove, gd</w:t>
      </w:r>
      <w:r w:rsidR="00100EB4" w:rsidRPr="00C00F2A">
        <w:rPr>
          <w:sz w:val="22"/>
          <w:szCs w:val="22"/>
        </w:rPr>
        <w:t>j</w:t>
      </w:r>
      <w:r w:rsidRPr="00C00F2A">
        <w:rPr>
          <w:sz w:val="22"/>
          <w:szCs w:val="22"/>
        </w:rPr>
        <w:t>e uglavnom nije zastupljen individualizovan pristup i gd</w:t>
      </w:r>
      <w:r w:rsidR="00100EB4" w:rsidRPr="00C00F2A">
        <w:rPr>
          <w:sz w:val="22"/>
          <w:szCs w:val="22"/>
        </w:rPr>
        <w:t>je se i dalje bi</w:t>
      </w:r>
      <w:r w:rsidRPr="00C00F2A">
        <w:rPr>
          <w:sz w:val="22"/>
          <w:szCs w:val="22"/>
        </w:rPr>
        <w:t>l</w:t>
      </w:r>
      <w:r w:rsidR="00100EB4" w:rsidRPr="00C00F2A">
        <w:rPr>
          <w:sz w:val="22"/>
          <w:szCs w:val="22"/>
        </w:rPr>
        <w:t>ježe slučajevi kršenja ljudskih</w:t>
      </w:r>
      <w:r w:rsidRPr="00C00F2A">
        <w:rPr>
          <w:sz w:val="22"/>
          <w:szCs w:val="22"/>
        </w:rPr>
        <w:t xml:space="preserve"> prava.</w:t>
      </w:r>
      <w:r w:rsidR="009700A1" w:rsidRPr="00C00F2A">
        <w:rPr>
          <w:sz w:val="22"/>
          <w:szCs w:val="22"/>
        </w:rPr>
        <w:t xml:space="preserve"> </w:t>
      </w:r>
    </w:p>
    <w:p w:rsidR="007107FB" w:rsidRPr="00C00F2A" w:rsidRDefault="007107FB" w:rsidP="00153C35">
      <w:pPr>
        <w:jc w:val="both"/>
        <w:rPr>
          <w:sz w:val="22"/>
          <w:szCs w:val="22"/>
        </w:rPr>
      </w:pPr>
      <w:r w:rsidRPr="00C00F2A">
        <w:rPr>
          <w:sz w:val="22"/>
          <w:szCs w:val="22"/>
        </w:rPr>
        <w:t>U Bugarskoj trenutno postoji 11 dnevnih centara za osobe psiho-socijalnim invaliditetom. One bi trebalo da se fokusiraju podjednako na rehabilitaciju i prevenciju dugotrajnih hospitalizacija. Međutim, mnogi centri funkcionišu kao “svratišta” bez ikakve ambicije za prevenciju hospizalizacije.</w:t>
      </w:r>
    </w:p>
    <w:p w:rsidR="007107FB" w:rsidRPr="00C00F2A" w:rsidRDefault="007107FB" w:rsidP="00153C35">
      <w:pPr>
        <w:jc w:val="both"/>
        <w:rPr>
          <w:sz w:val="22"/>
          <w:szCs w:val="22"/>
        </w:rPr>
      </w:pPr>
      <w:r w:rsidRPr="00C00F2A">
        <w:rPr>
          <w:sz w:val="22"/>
          <w:szCs w:val="22"/>
        </w:rPr>
        <w:t>Stručni kapaciteti za razvoj alternativnih usluga dolaze iz nevladinih organizacija k</w:t>
      </w:r>
      <w:r w:rsidR="000B3853" w:rsidRPr="00C00F2A">
        <w:rPr>
          <w:sz w:val="22"/>
          <w:szCs w:val="22"/>
        </w:rPr>
        <w:t xml:space="preserve">oje sprovode većinu aktivnosti </w:t>
      </w:r>
      <w:r w:rsidRPr="00C00F2A">
        <w:rPr>
          <w:sz w:val="22"/>
          <w:szCs w:val="22"/>
        </w:rPr>
        <w:t>u vezi sa izgradnjom kapaciteta za usluge u zajednici.</w:t>
      </w:r>
      <w:r w:rsidR="009700A1" w:rsidRPr="00C00F2A">
        <w:rPr>
          <w:sz w:val="22"/>
          <w:szCs w:val="22"/>
        </w:rPr>
        <w:t xml:space="preserve"> </w:t>
      </w:r>
      <w:r w:rsidRPr="00C00F2A">
        <w:rPr>
          <w:sz w:val="22"/>
          <w:szCs w:val="22"/>
        </w:rPr>
        <w:t>Tako je Globalna inicijativa za psihijatriju – Sofija (GIP-Sofia) razvila usp</w:t>
      </w:r>
      <w:r w:rsidR="000B3853" w:rsidRPr="00C00F2A">
        <w:rPr>
          <w:sz w:val="22"/>
          <w:szCs w:val="22"/>
        </w:rPr>
        <w:t>j</w:t>
      </w:r>
      <w:r w:rsidRPr="00C00F2A">
        <w:rPr>
          <w:sz w:val="22"/>
          <w:szCs w:val="22"/>
        </w:rPr>
        <w:t xml:space="preserve">ešnu uslugu </w:t>
      </w:r>
      <w:r w:rsidR="00B64B9F" w:rsidRPr="00C00F2A">
        <w:rPr>
          <w:sz w:val="22"/>
          <w:szCs w:val="22"/>
        </w:rPr>
        <w:t xml:space="preserve">Aktivna podrška u zajednici </w:t>
      </w:r>
      <w:r w:rsidRPr="00C00F2A">
        <w:rPr>
          <w:sz w:val="22"/>
          <w:szCs w:val="22"/>
        </w:rPr>
        <w:t>koja je priznata od strane nadležnih institucija vlasti i dobila sertifikat Agencije za so</w:t>
      </w:r>
      <w:r w:rsidR="00B64B9F" w:rsidRPr="00C00F2A">
        <w:rPr>
          <w:sz w:val="22"/>
          <w:szCs w:val="22"/>
        </w:rPr>
        <w:t>cijalnu pomoć</w:t>
      </w:r>
      <w:r w:rsidRPr="00C00F2A">
        <w:rPr>
          <w:sz w:val="22"/>
          <w:szCs w:val="22"/>
        </w:rPr>
        <w:t>. Ujedno je zanimanje „ekspert po iskustvu u socijalnoj inkluziji“ zvanično uvršteno u nacionalni registar zanimanja. Međutim, program nije uključen u listu usluga sa državnim finansiranjem i još uv</w:t>
      </w:r>
      <w:r w:rsidR="00855655" w:rsidRPr="00C00F2A">
        <w:rPr>
          <w:sz w:val="22"/>
          <w:szCs w:val="22"/>
        </w:rPr>
        <w:t>ij</w:t>
      </w:r>
      <w:r w:rsidRPr="00C00F2A">
        <w:rPr>
          <w:sz w:val="22"/>
          <w:szCs w:val="22"/>
        </w:rPr>
        <w:t xml:space="preserve">ek ne dobija finansiranje od države, već se finansira </w:t>
      </w:r>
      <w:r w:rsidR="003C4737" w:rsidRPr="00C00F2A">
        <w:rPr>
          <w:sz w:val="22"/>
          <w:szCs w:val="22"/>
        </w:rPr>
        <w:t>jednim d</w:t>
      </w:r>
      <w:r w:rsidR="00855655" w:rsidRPr="00C00F2A">
        <w:rPr>
          <w:sz w:val="22"/>
          <w:szCs w:val="22"/>
        </w:rPr>
        <w:t>ij</w:t>
      </w:r>
      <w:r w:rsidR="003C4737" w:rsidRPr="00C00F2A">
        <w:rPr>
          <w:sz w:val="22"/>
          <w:szCs w:val="22"/>
        </w:rPr>
        <w:t>elom iz različitih projekta</w:t>
      </w:r>
      <w:r w:rsidR="00A936CB" w:rsidRPr="00C00F2A">
        <w:rPr>
          <w:sz w:val="22"/>
          <w:szCs w:val="22"/>
        </w:rPr>
        <w:t>,</w:t>
      </w:r>
      <w:r w:rsidR="003C4737" w:rsidRPr="00C00F2A">
        <w:rPr>
          <w:sz w:val="22"/>
          <w:szCs w:val="22"/>
        </w:rPr>
        <w:t xml:space="preserve"> a drugih d</w:t>
      </w:r>
      <w:r w:rsidR="00855655" w:rsidRPr="00C00F2A">
        <w:rPr>
          <w:sz w:val="22"/>
          <w:szCs w:val="22"/>
        </w:rPr>
        <w:t>ij</w:t>
      </w:r>
      <w:r w:rsidR="003C4737" w:rsidRPr="00C00F2A">
        <w:rPr>
          <w:sz w:val="22"/>
          <w:szCs w:val="22"/>
        </w:rPr>
        <w:t>elom kroz uslugu Dnevnog centra za rehabilitaciju (odvikavanje), u okviru koga je mehanizam donošenja odluka uz podršku inkorporiran kao program centra</w:t>
      </w:r>
      <w:r w:rsidRPr="00C00F2A">
        <w:rPr>
          <w:sz w:val="22"/>
          <w:szCs w:val="22"/>
        </w:rPr>
        <w:t>.</w:t>
      </w:r>
    </w:p>
    <w:p w:rsidR="007107FB" w:rsidRPr="00C00F2A" w:rsidRDefault="007107FB" w:rsidP="00153C35">
      <w:pPr>
        <w:jc w:val="both"/>
        <w:rPr>
          <w:sz w:val="22"/>
          <w:szCs w:val="22"/>
        </w:rPr>
      </w:pPr>
      <w:r w:rsidRPr="00C00F2A">
        <w:rPr>
          <w:sz w:val="22"/>
          <w:szCs w:val="22"/>
        </w:rPr>
        <w:t>Usluga aktivne podrške u zajednici realizuje se u Sofiji. Nam</w:t>
      </w:r>
      <w:r w:rsidR="00855655" w:rsidRPr="00C00F2A">
        <w:rPr>
          <w:sz w:val="22"/>
          <w:szCs w:val="22"/>
        </w:rPr>
        <w:t>ij</w:t>
      </w:r>
      <w:r w:rsidRPr="00C00F2A">
        <w:rPr>
          <w:sz w:val="22"/>
          <w:szCs w:val="22"/>
        </w:rPr>
        <w:t>enjena je osobama koje se nalaze pod najvećim rizikom od zanemarivanja usl</w:t>
      </w:r>
      <w:r w:rsidR="00855655" w:rsidRPr="00C00F2A">
        <w:rPr>
          <w:sz w:val="22"/>
          <w:szCs w:val="22"/>
        </w:rPr>
        <w:t>ij</w:t>
      </w:r>
      <w:r w:rsidRPr="00C00F2A">
        <w:rPr>
          <w:sz w:val="22"/>
          <w:szCs w:val="22"/>
        </w:rPr>
        <w:t xml:space="preserve">ed mentalne bolesti. </w:t>
      </w:r>
      <w:r w:rsidRPr="00623C0B">
        <w:rPr>
          <w:b/>
          <w:sz w:val="22"/>
          <w:szCs w:val="22"/>
        </w:rPr>
        <w:t>U najvećem broju slučajeva, osobe koje koriste ovu uslugu imaju dijagnizu šizofrenije; nemaju redovne prihode, lična dokumenta i/ili su beskućnici bez bliskih srodnika i /ili prijatelja koji bi se o njima brinuli; a imaju mentalna i somatska oboljenja.</w:t>
      </w:r>
      <w:r w:rsidRPr="00C00F2A">
        <w:rPr>
          <w:sz w:val="22"/>
          <w:szCs w:val="22"/>
        </w:rPr>
        <w:t xml:space="preserve"> Usl</w:t>
      </w:r>
      <w:r w:rsidR="00855655" w:rsidRPr="00C00F2A">
        <w:rPr>
          <w:sz w:val="22"/>
          <w:szCs w:val="22"/>
        </w:rPr>
        <w:t>ij</w:t>
      </w:r>
      <w:r w:rsidRPr="00C00F2A">
        <w:rPr>
          <w:sz w:val="22"/>
          <w:szCs w:val="22"/>
        </w:rPr>
        <w:t>ed specifičnosti njihovog psihičkog stanja ili životnih okolnosti, ove osobe ne mogu doći u kontakt sa sistemom socijalne i zdravstvene zaštite i primiti adekvatnu i kvalitetnu n</w:t>
      </w:r>
      <w:r w:rsidR="00855655" w:rsidRPr="00C00F2A">
        <w:rPr>
          <w:sz w:val="22"/>
          <w:szCs w:val="22"/>
        </w:rPr>
        <w:t>j</w:t>
      </w:r>
      <w:r w:rsidRPr="00C00F2A">
        <w:rPr>
          <w:sz w:val="22"/>
          <w:szCs w:val="22"/>
        </w:rPr>
        <w:t>egu i podršku. Potencijalni korisnici programa se identifikuju na različite načine, ali ih uglavnom upućuju opštinske i zdravstvene službe u Sofiji.</w:t>
      </w:r>
    </w:p>
    <w:p w:rsidR="007107FB" w:rsidRPr="00C00F2A" w:rsidRDefault="007107FB" w:rsidP="00153C35">
      <w:pPr>
        <w:jc w:val="both"/>
        <w:rPr>
          <w:sz w:val="22"/>
          <w:szCs w:val="22"/>
        </w:rPr>
      </w:pPr>
      <w:r w:rsidRPr="00C00F2A">
        <w:rPr>
          <w:sz w:val="22"/>
          <w:szCs w:val="22"/>
        </w:rPr>
        <w:t xml:space="preserve">Vodeći princip programa je „ništa za klijenta bez klijenta.“ Način da se osigura učešće ciljne grupe jeste uključivanje eksperata po iskustvu, koji su i sami iskusili probleme mentalnog zdravlja. U pružanje usluge </w:t>
      </w:r>
      <w:r w:rsidRPr="00C00F2A">
        <w:rPr>
          <w:sz w:val="22"/>
          <w:szCs w:val="22"/>
        </w:rPr>
        <w:lastRenderedPageBreak/>
        <w:t>Aktivna podrška u zajednici uključena su tri socijalna radnika i pet eksperata po iskustvu. To su osobe koje imaju lično iskustvo isključivanja usl</w:t>
      </w:r>
      <w:r w:rsidR="002F2F6B" w:rsidRPr="00C00F2A">
        <w:rPr>
          <w:sz w:val="22"/>
          <w:szCs w:val="22"/>
        </w:rPr>
        <w:t>ij</w:t>
      </w:r>
      <w:r w:rsidRPr="00C00F2A">
        <w:rPr>
          <w:sz w:val="22"/>
          <w:szCs w:val="22"/>
        </w:rPr>
        <w:t>ed mentalne bolesti</w:t>
      </w:r>
      <w:r w:rsidR="002F2F6B" w:rsidRPr="00C00F2A">
        <w:rPr>
          <w:sz w:val="22"/>
          <w:szCs w:val="22"/>
        </w:rPr>
        <w:t>,</w:t>
      </w:r>
      <w:r w:rsidRPr="00C00F2A">
        <w:rPr>
          <w:sz w:val="22"/>
          <w:szCs w:val="22"/>
        </w:rPr>
        <w:t xml:space="preserve"> koje se završilo usp</w:t>
      </w:r>
      <w:r w:rsidR="002F2F6B" w:rsidRPr="00C00F2A">
        <w:rPr>
          <w:sz w:val="22"/>
          <w:szCs w:val="22"/>
        </w:rPr>
        <w:t>j</w:t>
      </w:r>
      <w:r w:rsidRPr="00C00F2A">
        <w:rPr>
          <w:sz w:val="22"/>
          <w:szCs w:val="22"/>
        </w:rPr>
        <w:t>ešnim oporavkom. Svi članovi tima prošli su specijalnizovanu obuku kroz koju su usvojili stavove i stekli v</w:t>
      </w:r>
      <w:r w:rsidR="002F2F6B" w:rsidRPr="00C00F2A">
        <w:rPr>
          <w:sz w:val="22"/>
          <w:szCs w:val="22"/>
        </w:rPr>
        <w:t>j</w:t>
      </w:r>
      <w:r w:rsidRPr="00C00F2A">
        <w:rPr>
          <w:sz w:val="22"/>
          <w:szCs w:val="22"/>
        </w:rPr>
        <w:t>eštine i znanja</w:t>
      </w:r>
      <w:r w:rsidR="00C72882" w:rsidRPr="00C00F2A">
        <w:rPr>
          <w:sz w:val="22"/>
          <w:szCs w:val="22"/>
        </w:rPr>
        <w:t xml:space="preserve"> za</w:t>
      </w:r>
      <w:r w:rsidRPr="00C00F2A">
        <w:rPr>
          <w:sz w:val="22"/>
          <w:szCs w:val="22"/>
        </w:rPr>
        <w:t xml:space="preserve"> borb</w:t>
      </w:r>
      <w:r w:rsidR="00C72882" w:rsidRPr="00C00F2A">
        <w:rPr>
          <w:sz w:val="22"/>
          <w:szCs w:val="22"/>
        </w:rPr>
        <w:t>u</w:t>
      </w:r>
      <w:r w:rsidRPr="00C00F2A">
        <w:rPr>
          <w:sz w:val="22"/>
          <w:szCs w:val="22"/>
        </w:rPr>
        <w:t xml:space="preserve"> protiv socijalnog isključivanja</w:t>
      </w:r>
      <w:r w:rsidR="00C72882" w:rsidRPr="00C00F2A">
        <w:rPr>
          <w:sz w:val="22"/>
          <w:szCs w:val="22"/>
        </w:rPr>
        <w:t xml:space="preserve"> u svim oblastima</w:t>
      </w:r>
      <w:r w:rsidRPr="00C00F2A">
        <w:rPr>
          <w:sz w:val="22"/>
          <w:szCs w:val="22"/>
        </w:rPr>
        <w:t>.</w:t>
      </w:r>
    </w:p>
    <w:p w:rsidR="007107FB" w:rsidRPr="00C00F2A" w:rsidRDefault="007107FB" w:rsidP="00153C35">
      <w:pPr>
        <w:jc w:val="both"/>
        <w:rPr>
          <w:sz w:val="22"/>
          <w:szCs w:val="22"/>
        </w:rPr>
      </w:pPr>
      <w:r w:rsidRPr="00C00F2A">
        <w:rPr>
          <w:sz w:val="22"/>
          <w:szCs w:val="22"/>
        </w:rPr>
        <w:t>Socijalni radnik i ekspert/kinja po iskustvu rade timski i obavljaju terenski rad, kreiraju planove podrške i prate njihovu prim</w:t>
      </w:r>
      <w:r w:rsidR="002F2F6B" w:rsidRPr="00C00F2A">
        <w:rPr>
          <w:sz w:val="22"/>
          <w:szCs w:val="22"/>
        </w:rPr>
        <w:t>j</w:t>
      </w:r>
      <w:r w:rsidRPr="00C00F2A">
        <w:rPr>
          <w:sz w:val="22"/>
          <w:szCs w:val="22"/>
        </w:rPr>
        <w:t>enu. Program insistira na aktivnom učešću klijenta u proces</w:t>
      </w:r>
      <w:r w:rsidR="002F2F6B" w:rsidRPr="00C00F2A">
        <w:rPr>
          <w:sz w:val="22"/>
          <w:szCs w:val="22"/>
        </w:rPr>
        <w:t>u</w:t>
      </w:r>
      <w:r w:rsidRPr="00C00F2A">
        <w:rPr>
          <w:sz w:val="22"/>
          <w:szCs w:val="22"/>
        </w:rPr>
        <w:t xml:space="preserve"> donošenja odluka koje se tiču implementacije njihovih planova podrške, kako bi se osiguralo da se njihova prava poštuju u skladu sa Konvencijom o pravima osoba sa invaliditetom.</w:t>
      </w:r>
    </w:p>
    <w:p w:rsidR="007107FB" w:rsidRPr="00C00F2A" w:rsidRDefault="007107FB" w:rsidP="00153C35">
      <w:pPr>
        <w:jc w:val="both"/>
        <w:rPr>
          <w:sz w:val="22"/>
          <w:szCs w:val="22"/>
        </w:rPr>
      </w:pPr>
      <w:r w:rsidRPr="00C00F2A">
        <w:rPr>
          <w:sz w:val="22"/>
          <w:szCs w:val="22"/>
        </w:rPr>
        <w:t>Iako je GIP-Sofia ne</w:t>
      </w:r>
      <w:r w:rsidR="00FB1B54" w:rsidRPr="00C00F2A">
        <w:rPr>
          <w:sz w:val="22"/>
          <w:szCs w:val="22"/>
        </w:rPr>
        <w:t>posredni pružalac usluge, progr</w:t>
      </w:r>
      <w:r w:rsidRPr="00C00F2A">
        <w:rPr>
          <w:sz w:val="22"/>
          <w:szCs w:val="22"/>
        </w:rPr>
        <w:t>am mobiliše sve postojeće resurse u zajednici, uključujući usluge socijalne i zdravstvene zaštite, opštinske službe, drža</w:t>
      </w:r>
      <w:r w:rsidR="002F2F6B" w:rsidRPr="00C00F2A">
        <w:rPr>
          <w:sz w:val="22"/>
          <w:szCs w:val="22"/>
        </w:rPr>
        <w:t xml:space="preserve">vne institucije, ali i sve one </w:t>
      </w:r>
      <w:r w:rsidRPr="00C00F2A">
        <w:rPr>
          <w:sz w:val="22"/>
          <w:szCs w:val="22"/>
        </w:rPr>
        <w:t>iz neposrednog okruženja osobe – l</w:t>
      </w:r>
      <w:r w:rsidR="00795021" w:rsidRPr="00C00F2A">
        <w:rPr>
          <w:sz w:val="22"/>
          <w:szCs w:val="22"/>
        </w:rPr>
        <w:t>j</w:t>
      </w:r>
      <w:r w:rsidRPr="00C00F2A">
        <w:rPr>
          <w:sz w:val="22"/>
          <w:szCs w:val="22"/>
        </w:rPr>
        <w:t>ekare opšte prakse, psihij</w:t>
      </w:r>
      <w:r w:rsidR="009700A1" w:rsidRPr="00C00F2A">
        <w:rPr>
          <w:sz w:val="22"/>
          <w:szCs w:val="22"/>
        </w:rPr>
        <w:t>atre, porodice, prijatelje itd.</w:t>
      </w:r>
    </w:p>
    <w:p w:rsidR="007107FB" w:rsidRPr="00C00F2A" w:rsidRDefault="007107FB" w:rsidP="00153C35">
      <w:pPr>
        <w:jc w:val="both"/>
        <w:rPr>
          <w:sz w:val="22"/>
          <w:szCs w:val="22"/>
        </w:rPr>
      </w:pPr>
      <w:r w:rsidRPr="00C00F2A">
        <w:rPr>
          <w:sz w:val="22"/>
          <w:szCs w:val="22"/>
        </w:rPr>
        <w:t>Ova usluga usp</w:t>
      </w:r>
      <w:r w:rsidR="002F2F6B" w:rsidRPr="00C00F2A">
        <w:rPr>
          <w:sz w:val="22"/>
          <w:szCs w:val="22"/>
        </w:rPr>
        <w:t>j</w:t>
      </w:r>
      <w:r w:rsidRPr="00C00F2A">
        <w:rPr>
          <w:sz w:val="22"/>
          <w:szCs w:val="22"/>
        </w:rPr>
        <w:t>ela je da popuni raskorak između sistema socijalne i zdravstvene zaštite, naročito nakon otpusta iz bolnice kroz aktivan rad na terenu. Postignuća programa uključuju smanjenje izloženosti siromaštvu i zanemarivanju, bolje zdravstveno stanje, kao i priznanje i bolju koordinaciju među drugim akterima.</w:t>
      </w:r>
      <w:r w:rsidR="009700A1" w:rsidRPr="00C00F2A">
        <w:rPr>
          <w:sz w:val="22"/>
          <w:szCs w:val="22"/>
        </w:rPr>
        <w:t xml:space="preserve"> </w:t>
      </w:r>
      <w:r w:rsidR="002F2F6B" w:rsidRPr="00C00F2A">
        <w:rPr>
          <w:sz w:val="22"/>
          <w:szCs w:val="22"/>
        </w:rPr>
        <w:t>Objektivni pokazatelji zabi</w:t>
      </w:r>
      <w:r w:rsidRPr="00C00F2A">
        <w:rPr>
          <w:sz w:val="22"/>
          <w:szCs w:val="22"/>
        </w:rPr>
        <w:t>l</w:t>
      </w:r>
      <w:r w:rsidR="002F2F6B" w:rsidRPr="00C00F2A">
        <w:rPr>
          <w:sz w:val="22"/>
          <w:szCs w:val="22"/>
        </w:rPr>
        <w:t>j</w:t>
      </w:r>
      <w:r w:rsidRPr="00C00F2A">
        <w:rPr>
          <w:sz w:val="22"/>
          <w:szCs w:val="22"/>
        </w:rPr>
        <w:t>ežili</w:t>
      </w:r>
      <w:r w:rsidR="008C66B6" w:rsidRPr="00C00F2A">
        <w:rPr>
          <w:sz w:val="22"/>
          <w:szCs w:val="22"/>
        </w:rPr>
        <w:t xml:space="preserve"> su</w:t>
      </w:r>
      <w:r w:rsidRPr="00C00F2A">
        <w:rPr>
          <w:sz w:val="22"/>
          <w:szCs w:val="22"/>
        </w:rPr>
        <w:t xml:space="preserve"> bolji kvalitet života korisnika usl</w:t>
      </w:r>
      <w:r w:rsidR="008C66B6" w:rsidRPr="00C00F2A">
        <w:rPr>
          <w:sz w:val="22"/>
          <w:szCs w:val="22"/>
        </w:rPr>
        <w:t>ij</w:t>
      </w:r>
      <w:r w:rsidRPr="00C00F2A">
        <w:rPr>
          <w:sz w:val="22"/>
          <w:szCs w:val="22"/>
        </w:rPr>
        <w:t>ed podrške u odlučivanju, pristupa zasnovanog na snagama osobe i koordinisane podrške i planiranja. Smanjen je broj pogoršanja i prisilnih hospitalizacija. Stavovi klijenata, ali i ostalih aktera m</w:t>
      </w:r>
      <w:r w:rsidR="008C66B6" w:rsidRPr="00C00F2A">
        <w:rPr>
          <w:sz w:val="22"/>
          <w:szCs w:val="22"/>
        </w:rPr>
        <w:t>ij</w:t>
      </w:r>
      <w:r w:rsidRPr="00C00F2A">
        <w:rPr>
          <w:sz w:val="22"/>
          <w:szCs w:val="22"/>
        </w:rPr>
        <w:t xml:space="preserve">enjali su se sa iskustvom. </w:t>
      </w:r>
    </w:p>
    <w:p w:rsidR="00595005" w:rsidRPr="00C00F2A" w:rsidRDefault="007107FB" w:rsidP="00153C35">
      <w:pPr>
        <w:jc w:val="both"/>
        <w:rPr>
          <w:sz w:val="22"/>
          <w:szCs w:val="22"/>
        </w:rPr>
      </w:pPr>
      <w:r w:rsidRPr="00C00F2A">
        <w:rPr>
          <w:sz w:val="22"/>
          <w:szCs w:val="22"/>
        </w:rPr>
        <w:t>Ovaj model i prateću edukaciju moguće je prim</w:t>
      </w:r>
      <w:r w:rsidR="008C66B6" w:rsidRPr="00C00F2A">
        <w:rPr>
          <w:sz w:val="22"/>
          <w:szCs w:val="22"/>
        </w:rPr>
        <w:t>ij</w:t>
      </w:r>
      <w:r w:rsidRPr="00C00F2A">
        <w:rPr>
          <w:sz w:val="22"/>
          <w:szCs w:val="22"/>
        </w:rPr>
        <w:t>eniti i u drugim oblastima</w:t>
      </w:r>
      <w:r w:rsidR="008C66B6" w:rsidRPr="00C00F2A">
        <w:rPr>
          <w:sz w:val="22"/>
          <w:szCs w:val="22"/>
        </w:rPr>
        <w:t>, kod osoba</w:t>
      </w:r>
      <w:r w:rsidRPr="00C00F2A">
        <w:rPr>
          <w:sz w:val="22"/>
          <w:szCs w:val="22"/>
        </w:rPr>
        <w:t xml:space="preserve"> koje su pogođene ozbiljnim i dugotrajnim stanjima</w:t>
      </w:r>
      <w:r w:rsidR="008C66B6" w:rsidRPr="00C00F2A">
        <w:rPr>
          <w:sz w:val="22"/>
          <w:szCs w:val="22"/>
        </w:rPr>
        <w:t>,</w:t>
      </w:r>
      <w:r w:rsidRPr="00C00F2A">
        <w:rPr>
          <w:sz w:val="22"/>
          <w:szCs w:val="22"/>
        </w:rPr>
        <w:t xml:space="preserve"> koja rezultiraju invaliditetom i kojima je potrebna kompleksna podrška. Elementi ovog modela, poput pružanja podrške u donošenju odluka, prim</w:t>
      </w:r>
      <w:r w:rsidR="008C66B6" w:rsidRPr="00C00F2A">
        <w:rPr>
          <w:sz w:val="22"/>
          <w:szCs w:val="22"/>
        </w:rPr>
        <w:t>j</w:t>
      </w:r>
      <w:r w:rsidRPr="00C00F2A">
        <w:rPr>
          <w:sz w:val="22"/>
          <w:szCs w:val="22"/>
        </w:rPr>
        <w:t>enjuju se i u drugim opštinama (Plovdiv, Stara Zagora).</w:t>
      </w:r>
    </w:p>
    <w:p w:rsidR="00B90489" w:rsidRPr="00C00F2A" w:rsidRDefault="00B90489" w:rsidP="002A6050">
      <w:pPr>
        <w:rPr>
          <w:sz w:val="22"/>
          <w:szCs w:val="22"/>
        </w:rPr>
      </w:pPr>
    </w:p>
    <w:p w:rsidR="00B95B2B" w:rsidRPr="00C00F2A" w:rsidRDefault="00B95B2B" w:rsidP="00B95B2B">
      <w:pPr>
        <w:pStyle w:val="Heading5"/>
      </w:pPr>
      <w:r w:rsidRPr="00C00F2A">
        <w:t>Moldavija</w:t>
      </w:r>
      <w:r w:rsidR="008642C0" w:rsidRPr="00C00F2A">
        <w:rPr>
          <w:rStyle w:val="FootnoteReference"/>
        </w:rPr>
        <w:footnoteReference w:id="26"/>
      </w:r>
    </w:p>
    <w:p w:rsidR="008642C0" w:rsidRPr="00C00F2A" w:rsidRDefault="00FB1587" w:rsidP="009233BE">
      <w:pPr>
        <w:jc w:val="both"/>
        <w:rPr>
          <w:sz w:val="22"/>
          <w:szCs w:val="22"/>
        </w:rPr>
      </w:pPr>
      <w:r w:rsidRPr="00C00F2A">
        <w:rPr>
          <w:sz w:val="22"/>
          <w:szCs w:val="22"/>
        </w:rPr>
        <w:t>Program „Zajednica za sve – Moldavija“ usm</w:t>
      </w:r>
      <w:r w:rsidR="008C66B6" w:rsidRPr="00C00F2A">
        <w:rPr>
          <w:sz w:val="22"/>
          <w:szCs w:val="22"/>
        </w:rPr>
        <w:t>j</w:t>
      </w:r>
      <w:r w:rsidRPr="00C00F2A">
        <w:rPr>
          <w:sz w:val="22"/>
          <w:szCs w:val="22"/>
        </w:rPr>
        <w:t>eren je na proces izm</w:t>
      </w:r>
      <w:r w:rsidR="008C66B6" w:rsidRPr="00C00F2A">
        <w:rPr>
          <w:sz w:val="22"/>
          <w:szCs w:val="22"/>
        </w:rPr>
        <w:t>j</w:t>
      </w:r>
      <w:r w:rsidRPr="00C00F2A">
        <w:rPr>
          <w:sz w:val="22"/>
          <w:szCs w:val="22"/>
        </w:rPr>
        <w:t>eštanja d</w:t>
      </w:r>
      <w:r w:rsidR="008C66B6" w:rsidRPr="00C00F2A">
        <w:rPr>
          <w:sz w:val="22"/>
          <w:szCs w:val="22"/>
        </w:rPr>
        <w:t>j</w:t>
      </w:r>
      <w:r w:rsidRPr="00C00F2A">
        <w:rPr>
          <w:sz w:val="22"/>
          <w:szCs w:val="22"/>
        </w:rPr>
        <w:t>ečaka i muškaraca sa teškim mentalnim smetnjama iz Doma za osobe sa mentalnim smetnjama nazad u njihove porodice ili alternativne usluge u zajednici</w:t>
      </w:r>
      <w:r w:rsidR="008642C0" w:rsidRPr="00C00F2A">
        <w:rPr>
          <w:sz w:val="22"/>
          <w:szCs w:val="22"/>
        </w:rPr>
        <w:t xml:space="preserve">, </w:t>
      </w:r>
      <w:r w:rsidRPr="00C00F2A">
        <w:rPr>
          <w:sz w:val="22"/>
          <w:szCs w:val="22"/>
        </w:rPr>
        <w:t>razvoj pravnog okvira za nove usluge u zajednici i unapređivanje uslova za bolju socijalnu inkluziju osoba sa mentalnim smetnjama</w:t>
      </w:r>
      <w:r w:rsidR="008642C0" w:rsidRPr="00C00F2A">
        <w:rPr>
          <w:sz w:val="22"/>
          <w:szCs w:val="22"/>
        </w:rPr>
        <w:t>.</w:t>
      </w:r>
    </w:p>
    <w:p w:rsidR="001B18C8" w:rsidRPr="00C00F2A" w:rsidRDefault="001B18C8" w:rsidP="009233BE">
      <w:pPr>
        <w:jc w:val="both"/>
        <w:rPr>
          <w:sz w:val="22"/>
          <w:szCs w:val="22"/>
        </w:rPr>
      </w:pPr>
      <w:r w:rsidRPr="00C00F2A">
        <w:rPr>
          <w:sz w:val="22"/>
          <w:szCs w:val="22"/>
        </w:rPr>
        <w:t xml:space="preserve">Za sada je kroz projekat izrađen nacrt Strategije za socijalnu inkluziju osoba sa invaliditetom, nacrt Zakona za socijalnu inkluziju osoba sa invaliditetom i nacrt Standarda i propisa za zajedničko stanovanje i usluge stanovanja uz podršku. Na lokalnom nivou, projekat se istovremeno fokusira na omogućavanje izlaska osoba sa invaliditetom iz ustanove i na prevenciju institucionalizacije drugih osoba sa </w:t>
      </w:r>
      <w:r w:rsidRPr="00C00F2A">
        <w:rPr>
          <w:sz w:val="22"/>
          <w:szCs w:val="22"/>
        </w:rPr>
        <w:lastRenderedPageBreak/>
        <w:t>invaliditetom. To se postiže kroz saradnju sa lokalnim partnerskim organizacijama u zajednici u kojoj osoba živi (ili, u slučaju osoba koje su u instituciji, u zajednici gd</w:t>
      </w:r>
      <w:r w:rsidR="00E72DB9" w:rsidRPr="00C00F2A">
        <w:rPr>
          <w:sz w:val="22"/>
          <w:szCs w:val="22"/>
        </w:rPr>
        <w:t>j</w:t>
      </w:r>
      <w:r w:rsidRPr="00C00F2A">
        <w:rPr>
          <w:sz w:val="22"/>
          <w:szCs w:val="22"/>
        </w:rPr>
        <w:t>e je osoba raniije živ</w:t>
      </w:r>
      <w:r w:rsidR="00E72DB9" w:rsidRPr="00C00F2A">
        <w:rPr>
          <w:sz w:val="22"/>
          <w:szCs w:val="22"/>
        </w:rPr>
        <w:t>j</w:t>
      </w:r>
      <w:r w:rsidRPr="00C00F2A">
        <w:rPr>
          <w:sz w:val="22"/>
          <w:szCs w:val="22"/>
        </w:rPr>
        <w:t>ela).</w:t>
      </w:r>
    </w:p>
    <w:p w:rsidR="001B18C8" w:rsidRPr="00C00F2A" w:rsidRDefault="001B18C8" w:rsidP="009233BE">
      <w:pPr>
        <w:jc w:val="both"/>
        <w:rPr>
          <w:sz w:val="22"/>
          <w:szCs w:val="22"/>
        </w:rPr>
      </w:pPr>
      <w:r w:rsidRPr="00C00F2A">
        <w:rPr>
          <w:sz w:val="22"/>
          <w:szCs w:val="22"/>
        </w:rPr>
        <w:t>U periodu od 2008 – 2012. godine ustanovu je napustilo više od 70 osoba, a spr</w:t>
      </w:r>
      <w:r w:rsidR="00E72DB9" w:rsidRPr="00C00F2A">
        <w:rPr>
          <w:sz w:val="22"/>
          <w:szCs w:val="22"/>
        </w:rPr>
        <w:t>ij</w:t>
      </w:r>
      <w:r w:rsidRPr="00C00F2A">
        <w:rPr>
          <w:sz w:val="22"/>
          <w:szCs w:val="22"/>
        </w:rPr>
        <w:t>ečeno je da oko 40 osoba bude sm</w:t>
      </w:r>
      <w:r w:rsidR="00E72DB9" w:rsidRPr="00C00F2A">
        <w:rPr>
          <w:sz w:val="22"/>
          <w:szCs w:val="22"/>
        </w:rPr>
        <w:t>j</w:t>
      </w:r>
      <w:r w:rsidRPr="00C00F2A">
        <w:rPr>
          <w:sz w:val="22"/>
          <w:szCs w:val="22"/>
        </w:rPr>
        <w:t>ešteno u neku od institucija. Usluge u zajednici</w:t>
      </w:r>
      <w:r w:rsidR="00E72DB9" w:rsidRPr="00C00F2A">
        <w:rPr>
          <w:sz w:val="22"/>
          <w:szCs w:val="22"/>
        </w:rPr>
        <w:t>,</w:t>
      </w:r>
      <w:r w:rsidRPr="00C00F2A">
        <w:rPr>
          <w:sz w:val="22"/>
          <w:szCs w:val="22"/>
        </w:rPr>
        <w:t xml:space="preserve"> koje </w:t>
      </w:r>
      <w:r w:rsidR="00E72DB9" w:rsidRPr="00C00F2A">
        <w:rPr>
          <w:sz w:val="22"/>
          <w:szCs w:val="22"/>
        </w:rPr>
        <w:t xml:space="preserve">je razvio Keystone u Moldaviji, </w:t>
      </w:r>
      <w:r w:rsidRPr="00C00F2A">
        <w:rPr>
          <w:sz w:val="22"/>
          <w:szCs w:val="22"/>
        </w:rPr>
        <w:t>uključuju usluge podrške porodici, stanovanje uz podršku, Grupno stanovanje, hraniteljstvo, zajedničko stanovanje, mobilne timove, asistente u nastavi i personalnu asistenciju.</w:t>
      </w:r>
    </w:p>
    <w:p w:rsidR="001B18C8" w:rsidRPr="00C00F2A" w:rsidRDefault="00B52F15" w:rsidP="009233BE">
      <w:pPr>
        <w:jc w:val="both"/>
        <w:rPr>
          <w:sz w:val="22"/>
          <w:szCs w:val="22"/>
        </w:rPr>
      </w:pPr>
      <w:r w:rsidRPr="00C00F2A">
        <w:rPr>
          <w:noProof/>
          <w:sz w:val="22"/>
          <w:szCs w:val="22"/>
          <w:lang w:val="en-US"/>
        </w:rPr>
        <mc:AlternateContent>
          <mc:Choice Requires="wps">
            <w:drawing>
              <wp:anchor distT="0" distB="0" distL="114300" distR="114300" simplePos="0" relativeHeight="251683840" behindDoc="0" locked="0" layoutInCell="1" allowOverlap="1" wp14:anchorId="79AD98B0" wp14:editId="13C795AC">
                <wp:simplePos x="0" y="0"/>
                <wp:positionH relativeFrom="column">
                  <wp:posOffset>-12065</wp:posOffset>
                </wp:positionH>
                <wp:positionV relativeFrom="paragraph">
                  <wp:posOffset>962660</wp:posOffset>
                </wp:positionV>
                <wp:extent cx="5879465" cy="4519930"/>
                <wp:effectExtent l="0" t="0" r="26035" b="13970"/>
                <wp:wrapTopAndBottom/>
                <wp:docPr id="12" name="Rounded Rectangle 12"/>
                <wp:cNvGraphicFramePr/>
                <a:graphic xmlns:a="http://schemas.openxmlformats.org/drawingml/2006/main">
                  <a:graphicData uri="http://schemas.microsoft.com/office/word/2010/wordprocessingShape">
                    <wps:wsp>
                      <wps:cNvSpPr/>
                      <wps:spPr>
                        <a:xfrm>
                          <a:off x="0" y="0"/>
                          <a:ext cx="5879465" cy="451993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F67406" w:rsidRPr="00B52F15" w:rsidRDefault="00F67406" w:rsidP="006D1D6F">
                            <w:pPr>
                              <w:rPr>
                                <w:sz w:val="22"/>
                              </w:rPr>
                            </w:pPr>
                            <w:r w:rsidRPr="00B52F15">
                              <w:rPr>
                                <w:sz w:val="22"/>
                              </w:rPr>
                              <w:t>PRIMJER ZAŠTITE I PREUSMJERAVANJA RESURSA IZ INSTITUCIONALNE ZAŠTITE NA BRIGU I PODRŠKU U OKVIRU ZAJEDNICE U REPUBLICI MOLDAVIJI*</w:t>
                            </w:r>
                          </w:p>
                          <w:p w:rsidR="00F67406" w:rsidRPr="00B52F15" w:rsidRDefault="00F67406" w:rsidP="0058684C">
                            <w:pPr>
                              <w:jc w:val="both"/>
                              <w:rPr>
                                <w:sz w:val="22"/>
                              </w:rPr>
                            </w:pPr>
                            <w:r w:rsidRPr="00B52F15">
                              <w:rPr>
                                <w:sz w:val="22"/>
                              </w:rPr>
                              <w:t>U jednom okrugu su lokalne vlasti razvile plan za sveobuhvatnu deinstitucionalizaciju dječijih službi, uključujući i zatvaranje tri ustanove. Sve tri ustanove je finansiralo Ministarstvo obrazovanja. Potrebne usluge u okviru zajednice (uključujući socijalne usluge i inkluzivno obrazovanje) bi finansiralo Vijeće tog okruga. Jedna NVO radila je sa Ministarstvom obrazovanja, Ministarstvom finansija i Vijećem okruga i razvio se proces u tri faze za preusmjeravanje sredstava. Kao prvo, zaštićeni su budžeti ustanova i dogovoreno je da oni budu postepeno umanjeni sa smanjenjem broja djece. Kao drugo, budžeti su decentralizovani i odgovornost je prenesena na Vijeće okruga, dok su ustanove još bile otvorene. Ova decentralizacija je bila zasnovana na uslovu da lokalna vlast neće smanjiti budžet, ili sredstva usmjeriti na bilo šta drugo, osim na usluge za djecu. Kao treće, kako su se ustanove postepeno zatvarale, budžeti i radna mjesta su prenošeni na nove usluge u okviru zajednice, čime je omogućeno da Vijeće okruga nastavi da podržava nove usluge.</w:t>
                            </w:r>
                          </w:p>
                          <w:p w:rsidR="00F67406" w:rsidRPr="009B6FB5" w:rsidRDefault="00F67406" w:rsidP="0058684C">
                            <w:pPr>
                              <w:jc w:val="right"/>
                              <w:rPr>
                                <w:b/>
                                <w:i/>
                                <w:vertAlign w:val="subscript"/>
                              </w:rPr>
                            </w:pPr>
                            <w:r w:rsidRPr="009B6FB5">
                              <w:rPr>
                                <w:b/>
                                <w:i/>
                                <w:vertAlign w:val="subscript"/>
                              </w:rPr>
                              <w:t xml:space="preserve">*preuzeto iz Jedinstvenih evropskih smjernica za prelazak sa institucionalne zaštite na  brigu i podršku u zajednici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3" style="position:absolute;left:0;text-align:left;margin-left:-.95pt;margin-top:75.8pt;width:462.95pt;height:35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" fillcolor="white [3201]" strokecolor="#4f81bd [3204]" strokeweight="2pt">
                <v:textbox>
                  <w:txbxContent>
                    <w:p w:rsidR="009B6FB5" w:rsidRPr="00B52F15" w:rsidRDefault="009B6FB5" w:rsidP="006D1D6F">
                      <w:pPr>
                        <w:rPr>
                          <w:sz w:val="22"/>
                        </w:rPr>
                      </w:pPr>
                      <w:r w:rsidRPr="00B52F15">
                        <w:rPr>
                          <w:sz w:val="22"/>
                        </w:rPr>
                        <w:t>PRIM</w:t>
                      </w:r>
                      <w:r w:rsidRPr="00B52F15">
                        <w:rPr>
                          <w:sz w:val="22"/>
                          <w:lang w:val="sr-Latn-ME"/>
                        </w:rPr>
                        <w:t>J</w:t>
                      </w:r>
                      <w:r w:rsidRPr="00B52F15">
                        <w:rPr>
                          <w:sz w:val="22"/>
                        </w:rPr>
                        <w:t>ER ZAŠTITE I PREUSM</w:t>
                      </w:r>
                      <w:r w:rsidRPr="00B52F15">
                        <w:rPr>
                          <w:sz w:val="22"/>
                          <w:lang w:val="sr-Latn-ME"/>
                        </w:rPr>
                        <w:t>J</w:t>
                      </w:r>
                      <w:r w:rsidRPr="00B52F15">
                        <w:rPr>
                          <w:sz w:val="22"/>
                        </w:rPr>
                        <w:t>ERAVANJA RESURSA IZ INSTITUCIONALNE ZAŠTITE NA BRIGU I PODRŠKU U OKVIRU ZAJEDNICE U REPUBLICI MOLDAVIJI*</w:t>
                      </w:r>
                    </w:p>
                    <w:p w:rsidR="009B6FB5" w:rsidRPr="00B52F15" w:rsidRDefault="009B6FB5" w:rsidP="0058684C">
                      <w:pPr>
                        <w:jc w:val="both"/>
                        <w:rPr>
                          <w:sz w:val="22"/>
                        </w:rPr>
                      </w:pPr>
                      <w:r w:rsidRPr="00B52F15">
                        <w:rPr>
                          <w:sz w:val="22"/>
                        </w:rPr>
                        <w:t>U jednom okrugu su lokalne vlasti razvile plan za sveobuhvatnu deinstitucionalizaciju d</w:t>
                      </w:r>
                      <w:r w:rsidRPr="00B52F15">
                        <w:rPr>
                          <w:sz w:val="22"/>
                          <w:lang w:val="sr-Latn-ME"/>
                        </w:rPr>
                        <w:t>j</w:t>
                      </w:r>
                      <w:r w:rsidRPr="00B52F15">
                        <w:rPr>
                          <w:sz w:val="22"/>
                        </w:rPr>
                        <w:t>ečijih službi, uključujući i zatvaranje tri ustanove. Sve tri ustanove je finansiralo Ministarstvo obrazovanja. Potrebne usluge u okviru zajednice (uključujući socijalne usluge i inkluzivno obrazovanje) bi finansiralo V</w:t>
                      </w:r>
                      <w:r w:rsidRPr="00B52F15">
                        <w:rPr>
                          <w:sz w:val="22"/>
                          <w:lang w:val="sr-Latn-ME"/>
                        </w:rPr>
                        <w:t>ij</w:t>
                      </w:r>
                      <w:r w:rsidRPr="00B52F15">
                        <w:rPr>
                          <w:sz w:val="22"/>
                        </w:rPr>
                        <w:t>eće tog okruga. Jedna NVO radila je sa Ministarstvom obrazovanja, Ministarstvom finansija i V</w:t>
                      </w:r>
                      <w:r w:rsidRPr="00B52F15">
                        <w:rPr>
                          <w:sz w:val="22"/>
                          <w:lang w:val="sr-Latn-ME"/>
                        </w:rPr>
                        <w:t>ij</w:t>
                      </w:r>
                      <w:r w:rsidRPr="00B52F15">
                        <w:rPr>
                          <w:sz w:val="22"/>
                        </w:rPr>
                        <w:t>ećem okruga i razvio se proces u tri faze za preusm</w:t>
                      </w:r>
                      <w:r w:rsidRPr="00B52F15">
                        <w:rPr>
                          <w:sz w:val="22"/>
                          <w:lang w:val="sr-Latn-ME"/>
                        </w:rPr>
                        <w:t>j</w:t>
                      </w:r>
                      <w:r w:rsidRPr="00B52F15">
                        <w:rPr>
                          <w:sz w:val="22"/>
                        </w:rPr>
                        <w:t>eravanje sre</w:t>
                      </w:r>
                      <w:r w:rsidRPr="00B52F15">
                        <w:rPr>
                          <w:sz w:val="22"/>
                          <w:lang w:val="sr-Latn-ME"/>
                        </w:rPr>
                        <w:t>d</w:t>
                      </w:r>
                      <w:r w:rsidRPr="00B52F15">
                        <w:rPr>
                          <w:sz w:val="22"/>
                        </w:rPr>
                        <w:t>stava. Kao prvo, zaštićeni su budžeti ustanova i dogovoreno je da oni budu postepeno umanjeni sa smanjenjem broja d</w:t>
                      </w:r>
                      <w:r w:rsidRPr="00B52F15">
                        <w:rPr>
                          <w:sz w:val="22"/>
                          <w:lang w:val="sr-Latn-ME"/>
                        </w:rPr>
                        <w:t>j</w:t>
                      </w:r>
                      <w:r w:rsidRPr="00B52F15">
                        <w:rPr>
                          <w:sz w:val="22"/>
                        </w:rPr>
                        <w:t>ece. Kao drugo, budžeti su decentralizovani i odgovornost je prenesena na V</w:t>
                      </w:r>
                      <w:r w:rsidRPr="00B52F15">
                        <w:rPr>
                          <w:sz w:val="22"/>
                          <w:lang w:val="sr-Latn-ME"/>
                        </w:rPr>
                        <w:t>ij</w:t>
                      </w:r>
                      <w:r w:rsidRPr="00B52F15">
                        <w:rPr>
                          <w:sz w:val="22"/>
                        </w:rPr>
                        <w:t>eće okruga, dok su ustanove još bile otvorene. Ova decentralizacija je bila zasnovana na uslovu da lokalna vlast neće smanjiti budžet</w:t>
                      </w:r>
                      <w:r w:rsidRPr="00B52F15">
                        <w:rPr>
                          <w:sz w:val="22"/>
                          <w:lang w:val="sr-Latn-ME"/>
                        </w:rPr>
                        <w:t>,</w:t>
                      </w:r>
                      <w:r w:rsidRPr="00B52F15">
                        <w:rPr>
                          <w:sz w:val="22"/>
                        </w:rPr>
                        <w:t xml:space="preserve"> ili sredstva usm</w:t>
                      </w:r>
                      <w:r w:rsidRPr="00B52F15">
                        <w:rPr>
                          <w:sz w:val="22"/>
                          <w:lang w:val="sr-Latn-ME"/>
                        </w:rPr>
                        <w:t>j</w:t>
                      </w:r>
                      <w:r w:rsidRPr="00B52F15">
                        <w:rPr>
                          <w:sz w:val="22"/>
                        </w:rPr>
                        <w:t>eriti na bilo šta drugo</w:t>
                      </w:r>
                      <w:r w:rsidRPr="00B52F15">
                        <w:rPr>
                          <w:sz w:val="22"/>
                          <w:lang w:val="sr-Latn-ME"/>
                        </w:rPr>
                        <w:t>,</w:t>
                      </w:r>
                      <w:r w:rsidRPr="00B52F15">
                        <w:rPr>
                          <w:sz w:val="22"/>
                        </w:rPr>
                        <w:t xml:space="preserve"> osim na usluge za d</w:t>
                      </w:r>
                      <w:r w:rsidRPr="00B52F15">
                        <w:rPr>
                          <w:sz w:val="22"/>
                          <w:lang w:val="sr-Latn-ME"/>
                        </w:rPr>
                        <w:t>j</w:t>
                      </w:r>
                      <w:r w:rsidRPr="00B52F15">
                        <w:rPr>
                          <w:sz w:val="22"/>
                        </w:rPr>
                        <w:t>ecu. Kao treće, kako su se ustanove postepeno zatvarale, budžeti i radna m</w:t>
                      </w:r>
                      <w:r w:rsidRPr="00B52F15">
                        <w:rPr>
                          <w:sz w:val="22"/>
                          <w:lang w:val="sr-Latn-ME"/>
                        </w:rPr>
                        <w:t>j</w:t>
                      </w:r>
                      <w:r w:rsidRPr="00B52F15">
                        <w:rPr>
                          <w:sz w:val="22"/>
                        </w:rPr>
                        <w:t>esta su prenošeni na nove usluge u okviru zajednice, čime je omogućeno da V</w:t>
                      </w:r>
                      <w:r w:rsidRPr="00B52F15">
                        <w:rPr>
                          <w:sz w:val="22"/>
                          <w:lang w:val="sr-Latn-ME"/>
                        </w:rPr>
                        <w:t>ij</w:t>
                      </w:r>
                      <w:r w:rsidRPr="00B52F15">
                        <w:rPr>
                          <w:sz w:val="22"/>
                        </w:rPr>
                        <w:t>eće okruga nastavi da podržava nove usluge.</w:t>
                      </w:r>
                    </w:p>
                    <w:p w:rsidR="009B6FB5" w:rsidRPr="009B6FB5" w:rsidRDefault="009B6FB5" w:rsidP="0058684C">
                      <w:pPr>
                        <w:jc w:val="right"/>
                        <w:rPr>
                          <w:b/>
                          <w:i/>
                          <w:vertAlign w:val="subscript"/>
                        </w:rPr>
                      </w:pPr>
                      <w:r w:rsidRPr="009B6FB5">
                        <w:rPr>
                          <w:b/>
                          <w:i/>
                          <w:vertAlign w:val="subscript"/>
                        </w:rPr>
                        <w:t>*preuzeto iz Jedinstvenih evropskih sm</w:t>
                      </w:r>
                      <w:r w:rsidRPr="009B6FB5">
                        <w:rPr>
                          <w:b/>
                          <w:i/>
                          <w:vertAlign w:val="subscript"/>
                          <w:lang w:val="sr-Latn-ME"/>
                        </w:rPr>
                        <w:t>j</w:t>
                      </w:r>
                      <w:r w:rsidRPr="009B6FB5">
                        <w:rPr>
                          <w:b/>
                          <w:i/>
                          <w:vertAlign w:val="subscript"/>
                        </w:rPr>
                        <w:t xml:space="preserve">ernica za prelazak sa institucionalne zaštite na  brigu i podršku u zajednici </w:t>
                      </w:r>
                    </w:p>
                  </w:txbxContent>
                </v:textbox>
                <w10:wrap type="topAndBottom"/>
              </v:roundrect>
            </w:pict>
          </mc:Fallback>
        </mc:AlternateContent>
      </w:r>
      <w:r w:rsidR="001B18C8" w:rsidRPr="00C00F2A">
        <w:rPr>
          <w:sz w:val="22"/>
          <w:szCs w:val="22"/>
        </w:rPr>
        <w:t>Važno je napomenuti da je Moldavija jedna od najsiromašnijih zemalja u Evropi i da je najteže pogođena finansijskom krizom od bilo koje zemlje u sv</w:t>
      </w:r>
      <w:r w:rsidR="00E72DB9" w:rsidRPr="00C00F2A">
        <w:rPr>
          <w:sz w:val="22"/>
          <w:szCs w:val="22"/>
        </w:rPr>
        <w:t>ij</w:t>
      </w:r>
      <w:r w:rsidR="001B18C8" w:rsidRPr="00C00F2A">
        <w:rPr>
          <w:sz w:val="22"/>
          <w:szCs w:val="22"/>
        </w:rPr>
        <w:t>etu.</w:t>
      </w:r>
      <w:r w:rsidR="001B18C8" w:rsidRPr="00C00F2A">
        <w:rPr>
          <w:rStyle w:val="FootnoteReference"/>
          <w:sz w:val="22"/>
          <w:szCs w:val="22"/>
        </w:rPr>
        <w:footnoteReference w:id="27"/>
      </w:r>
      <w:r w:rsidR="001B18C8" w:rsidRPr="00C00F2A">
        <w:rPr>
          <w:sz w:val="22"/>
          <w:szCs w:val="22"/>
        </w:rPr>
        <w:t xml:space="preserve"> Uprkos tome, Moldavija je usp</w:t>
      </w:r>
      <w:r w:rsidR="00E72DB9" w:rsidRPr="00C00F2A">
        <w:rPr>
          <w:sz w:val="22"/>
          <w:szCs w:val="22"/>
        </w:rPr>
        <w:t>j</w:t>
      </w:r>
      <w:r w:rsidR="001B18C8" w:rsidRPr="00C00F2A">
        <w:rPr>
          <w:sz w:val="22"/>
          <w:szCs w:val="22"/>
        </w:rPr>
        <w:t>ela da zatvori ustanove,</w:t>
      </w:r>
      <w:r w:rsidR="007321B0" w:rsidRPr="00C00F2A">
        <w:rPr>
          <w:sz w:val="22"/>
          <w:szCs w:val="22"/>
        </w:rPr>
        <w:t xml:space="preserve"> </w:t>
      </w:r>
      <w:r w:rsidR="001B18C8" w:rsidRPr="00C00F2A">
        <w:rPr>
          <w:sz w:val="22"/>
          <w:szCs w:val="22"/>
        </w:rPr>
        <w:t>a sredstva preusm</w:t>
      </w:r>
      <w:r w:rsidR="00E72DB9" w:rsidRPr="00C00F2A">
        <w:rPr>
          <w:sz w:val="22"/>
          <w:szCs w:val="22"/>
        </w:rPr>
        <w:t>j</w:t>
      </w:r>
      <w:r w:rsidR="001B18C8" w:rsidRPr="00C00F2A">
        <w:rPr>
          <w:sz w:val="22"/>
          <w:szCs w:val="22"/>
        </w:rPr>
        <w:t>eri na usluge u zajednici, pokazujući da je sprovođenje procesa deinstitucionalizacije moguće i uz ograničena finansijska sredstva.</w:t>
      </w:r>
    </w:p>
    <w:p w:rsidR="006D1D6F" w:rsidRPr="00C00F2A" w:rsidRDefault="006D1D6F" w:rsidP="006D1D6F">
      <w:pPr>
        <w:rPr>
          <w:sz w:val="22"/>
          <w:szCs w:val="22"/>
        </w:rPr>
      </w:pPr>
    </w:p>
    <w:p w:rsidR="00443A1F" w:rsidRDefault="00443A1F" w:rsidP="00BD0102">
      <w:pPr>
        <w:pStyle w:val="Heading5"/>
      </w:pPr>
    </w:p>
    <w:p w:rsidR="000C2892" w:rsidRPr="00C00F2A" w:rsidRDefault="000C2892" w:rsidP="00BD0102">
      <w:pPr>
        <w:pStyle w:val="Heading5"/>
      </w:pPr>
      <w:r w:rsidRPr="00C00F2A">
        <w:lastRenderedPageBreak/>
        <w:t>Mađarska</w:t>
      </w:r>
    </w:p>
    <w:p w:rsidR="000C2892" w:rsidRPr="00C00F2A" w:rsidRDefault="00C9765A" w:rsidP="009233BE">
      <w:pPr>
        <w:jc w:val="both"/>
        <w:rPr>
          <w:sz w:val="22"/>
          <w:szCs w:val="22"/>
        </w:rPr>
      </w:pPr>
      <w:r w:rsidRPr="00C00F2A">
        <w:rPr>
          <w:sz w:val="22"/>
          <w:szCs w:val="22"/>
        </w:rPr>
        <w:t xml:space="preserve">Mađarska Vlada je 2011. godine usvojila Strategiju deinstitucionalizacije. Loše strane strategije su te što obuhvata period od 30 godina i što dozvoljava izgradnju novih institucija manjeg kapaciteta. Tokom 2013. godine odabrano je 6 velikih institucija (sa ukupno 700 korisnika) koje će biti zatvorene. </w:t>
      </w:r>
      <w:r w:rsidR="00615C0A" w:rsidRPr="00C00F2A">
        <w:rPr>
          <w:sz w:val="22"/>
          <w:szCs w:val="22"/>
        </w:rPr>
        <w:t>Postoji opravdana bojazan da će</w:t>
      </w:r>
      <w:r w:rsidRPr="00C00F2A">
        <w:rPr>
          <w:sz w:val="22"/>
          <w:szCs w:val="22"/>
        </w:rPr>
        <w:t xml:space="preserve"> manji broj njih naći svoje m</w:t>
      </w:r>
      <w:r w:rsidR="00997971" w:rsidRPr="00C00F2A">
        <w:rPr>
          <w:sz w:val="22"/>
          <w:szCs w:val="22"/>
        </w:rPr>
        <w:t>j</w:t>
      </w:r>
      <w:r w:rsidRPr="00C00F2A">
        <w:rPr>
          <w:sz w:val="22"/>
          <w:szCs w:val="22"/>
        </w:rPr>
        <w:t>esto u zajednici</w:t>
      </w:r>
      <w:r w:rsidR="0074074B" w:rsidRPr="00C00F2A">
        <w:rPr>
          <w:sz w:val="22"/>
          <w:szCs w:val="22"/>
        </w:rPr>
        <w:t>,</w:t>
      </w:r>
      <w:r w:rsidRPr="00C00F2A">
        <w:rPr>
          <w:sz w:val="22"/>
          <w:szCs w:val="22"/>
        </w:rPr>
        <w:t xml:space="preserve"> dok će većina biti </w:t>
      </w:r>
      <w:r w:rsidR="00615C0A" w:rsidRPr="00C00F2A">
        <w:rPr>
          <w:sz w:val="22"/>
          <w:szCs w:val="22"/>
        </w:rPr>
        <w:t>prebačena</w:t>
      </w:r>
      <w:r w:rsidRPr="00C00F2A">
        <w:rPr>
          <w:sz w:val="22"/>
          <w:szCs w:val="22"/>
        </w:rPr>
        <w:t xml:space="preserve"> u rezidencijalne jedinice manjeg kapaciteta.</w:t>
      </w:r>
    </w:p>
    <w:p w:rsidR="00FD4199" w:rsidRPr="00C00F2A" w:rsidRDefault="00FD4199" w:rsidP="009233BE">
      <w:pPr>
        <w:jc w:val="both"/>
        <w:rPr>
          <w:sz w:val="22"/>
          <w:szCs w:val="22"/>
        </w:rPr>
      </w:pPr>
      <w:r w:rsidRPr="00C00F2A">
        <w:rPr>
          <w:sz w:val="22"/>
          <w:szCs w:val="22"/>
        </w:rPr>
        <w:t>Zatvaranjem tih šest ustanova i drugim projektima u vazi sa deinstitucionalizacijom rukovodiće organizacija koju je osnovala Vlada – Neprofitno preduzeće za jednake mogućnosti osoba sa invaliditetom (FSZK). Rad FSZK nadzire i finansira Ministarstvo ljudskih resursa, u čijem sastavu su sektori za obrazovanje, zdravstvo i socijalna pitanja. Pored toga, postoji Nacionalni komitet za deinstitucionalizaciju kojim predsedava FSZK, a čine ga predstavnici svih relevantnih zainteresovanih strana (uključujući ministarstva i regionalne vlasti, druga Vladina t</w:t>
      </w:r>
      <w:r w:rsidR="0074074B" w:rsidRPr="00C00F2A">
        <w:rPr>
          <w:sz w:val="22"/>
          <w:szCs w:val="22"/>
        </w:rPr>
        <w:t>ij</w:t>
      </w:r>
      <w:r w:rsidRPr="00C00F2A">
        <w:rPr>
          <w:sz w:val="22"/>
          <w:szCs w:val="22"/>
        </w:rPr>
        <w:t>ela, organizacije osoba sa invaliditetom, druge NVO i unive</w:t>
      </w:r>
      <w:r w:rsidR="0074074B" w:rsidRPr="00C00F2A">
        <w:rPr>
          <w:sz w:val="22"/>
          <w:szCs w:val="22"/>
        </w:rPr>
        <w:t>r</w:t>
      </w:r>
      <w:r w:rsidRPr="00C00F2A">
        <w:rPr>
          <w:sz w:val="22"/>
          <w:szCs w:val="22"/>
        </w:rPr>
        <w:t>zitete).</w:t>
      </w:r>
    </w:p>
    <w:p w:rsidR="00ED5A58" w:rsidRPr="00C00F2A" w:rsidRDefault="00061885" w:rsidP="003A019C">
      <w:pPr>
        <w:jc w:val="both"/>
        <w:rPr>
          <w:sz w:val="22"/>
          <w:szCs w:val="22"/>
        </w:rPr>
      </w:pPr>
      <w:r w:rsidRPr="00C00F2A">
        <w:rPr>
          <w:sz w:val="22"/>
          <w:szCs w:val="22"/>
        </w:rPr>
        <w:t>Nacionalni komitet ima sav</w:t>
      </w:r>
      <w:r w:rsidR="00BB0E3B" w:rsidRPr="00C00F2A">
        <w:rPr>
          <w:sz w:val="22"/>
          <w:szCs w:val="22"/>
        </w:rPr>
        <w:t>j</w:t>
      </w:r>
      <w:r w:rsidRPr="00C00F2A">
        <w:rPr>
          <w:sz w:val="22"/>
          <w:szCs w:val="22"/>
        </w:rPr>
        <w:t>etodavnu ulogu i može uložiti veto na predloge koji nisu u skladu sa ciljevima Strategije. Međutim, pojedine odluke koje su don</w:t>
      </w:r>
      <w:r w:rsidR="002E28A0" w:rsidRPr="00C00F2A">
        <w:rPr>
          <w:sz w:val="22"/>
          <w:szCs w:val="22"/>
        </w:rPr>
        <w:t>ij</w:t>
      </w:r>
      <w:r w:rsidRPr="00C00F2A">
        <w:rPr>
          <w:sz w:val="22"/>
          <w:szCs w:val="22"/>
        </w:rPr>
        <w:t>ete nisu u potpunosti usklađene sa ključnim principima</w:t>
      </w:r>
      <w:r w:rsidR="002E28A0" w:rsidRPr="00C00F2A">
        <w:rPr>
          <w:sz w:val="22"/>
          <w:szCs w:val="22"/>
        </w:rPr>
        <w:t>,</w:t>
      </w:r>
      <w:r w:rsidRPr="00C00F2A">
        <w:rPr>
          <w:sz w:val="22"/>
          <w:szCs w:val="22"/>
        </w:rPr>
        <w:t xml:space="preserve"> kojima bi proces deinstitucionalizacije trebalo da se rukovodi. U svakom slučaju, </w:t>
      </w:r>
      <w:r w:rsidR="00FD4199" w:rsidRPr="00C00F2A">
        <w:rPr>
          <w:sz w:val="22"/>
          <w:szCs w:val="22"/>
        </w:rPr>
        <w:t>ovakva struktura predstavlja dobru osnovu za</w:t>
      </w:r>
      <w:r w:rsidRPr="00C00F2A">
        <w:rPr>
          <w:sz w:val="22"/>
          <w:szCs w:val="22"/>
        </w:rPr>
        <w:t xml:space="preserve"> upravljanjem procesom u praksi</w:t>
      </w:r>
      <w:r w:rsidR="002E28A0" w:rsidRPr="00C00F2A">
        <w:rPr>
          <w:sz w:val="22"/>
          <w:szCs w:val="22"/>
        </w:rPr>
        <w:t>,</w:t>
      </w:r>
      <w:r w:rsidRPr="00C00F2A">
        <w:rPr>
          <w:sz w:val="22"/>
          <w:szCs w:val="22"/>
        </w:rPr>
        <w:t xml:space="preserve"> ali treba još puno raditi na njenom unapređenju.</w:t>
      </w:r>
      <w:r w:rsidR="00484728" w:rsidRPr="00C00F2A">
        <w:rPr>
          <w:sz w:val="22"/>
          <w:szCs w:val="22"/>
        </w:rPr>
        <w:t xml:space="preserve"> </w:t>
      </w:r>
    </w:p>
    <w:p w:rsidR="00B52F15" w:rsidRDefault="00B52F15" w:rsidP="00C22950">
      <w:pPr>
        <w:pStyle w:val="Heading5"/>
      </w:pPr>
    </w:p>
    <w:p w:rsidR="00C22950" w:rsidRPr="00C00F2A" w:rsidRDefault="00C22950" w:rsidP="00C22950">
      <w:pPr>
        <w:pStyle w:val="Heading5"/>
      </w:pPr>
      <w:r w:rsidRPr="00C00F2A">
        <w:t>Srbija</w:t>
      </w:r>
      <w:r w:rsidR="00F07391" w:rsidRPr="00C00F2A">
        <w:rPr>
          <w:rStyle w:val="FootnoteReference"/>
        </w:rPr>
        <w:footnoteReference w:id="28"/>
      </w:r>
      <w:r w:rsidRPr="00C00F2A">
        <w:t xml:space="preserve"> </w:t>
      </w:r>
    </w:p>
    <w:p w:rsidR="0080490A" w:rsidRPr="00C00F2A" w:rsidRDefault="0080490A" w:rsidP="009233BE">
      <w:pPr>
        <w:jc w:val="both"/>
        <w:rPr>
          <w:sz w:val="22"/>
          <w:szCs w:val="22"/>
        </w:rPr>
      </w:pPr>
      <w:r w:rsidRPr="00C00F2A">
        <w:rPr>
          <w:sz w:val="22"/>
          <w:szCs w:val="22"/>
        </w:rPr>
        <w:t xml:space="preserve">Prepoznajući potrebu za humanizacijom tretmana osoba koje boluju od težih mentalnih poremećaja i stvaranjem uslova za njihovu resocijalizaciju, Srbija se 2003. godine, sa </w:t>
      </w:r>
      <w:r w:rsidR="00F07391" w:rsidRPr="00C00F2A">
        <w:rPr>
          <w:sz w:val="22"/>
          <w:szCs w:val="22"/>
        </w:rPr>
        <w:t>još osam država regiona, angažuje</w:t>
      </w:r>
      <w:r w:rsidRPr="00C00F2A">
        <w:rPr>
          <w:sz w:val="22"/>
          <w:szCs w:val="22"/>
        </w:rPr>
        <w:t xml:space="preserve"> u Projektu Pakta za stabilnost zemalja jugoistočne Evrope pod nazivom „Povećanje socijalne kohezije kroz jačanje službi za zaštitu mentalnog zdravlja u zajednici“.</w:t>
      </w:r>
    </w:p>
    <w:p w:rsidR="00DC637B" w:rsidRPr="00C00F2A" w:rsidRDefault="0080490A" w:rsidP="009233BE">
      <w:pPr>
        <w:jc w:val="both"/>
        <w:rPr>
          <w:sz w:val="22"/>
          <w:szCs w:val="22"/>
        </w:rPr>
      </w:pPr>
      <w:r w:rsidRPr="00C00F2A">
        <w:rPr>
          <w:sz w:val="22"/>
          <w:szCs w:val="22"/>
        </w:rPr>
        <w:t>Početak realizacije navedenog Projekta Pakta za stabilnost, može se smatrati početkom prim</w:t>
      </w:r>
      <w:r w:rsidR="00E87F66" w:rsidRPr="00C00F2A">
        <w:rPr>
          <w:sz w:val="22"/>
          <w:szCs w:val="22"/>
        </w:rPr>
        <w:t>j</w:t>
      </w:r>
      <w:r w:rsidRPr="00C00F2A">
        <w:rPr>
          <w:sz w:val="22"/>
          <w:szCs w:val="22"/>
        </w:rPr>
        <w:t>ene koncepta zaštite mentalnog zdr</w:t>
      </w:r>
      <w:r w:rsidR="00DD181C" w:rsidRPr="00C00F2A">
        <w:rPr>
          <w:sz w:val="22"/>
          <w:szCs w:val="22"/>
        </w:rPr>
        <w:t>avlja u zajednici Srbiji</w:t>
      </w:r>
      <w:r w:rsidRPr="00C00F2A">
        <w:rPr>
          <w:sz w:val="22"/>
          <w:szCs w:val="22"/>
        </w:rPr>
        <w:t>. Projektom je rukovodila Sv</w:t>
      </w:r>
      <w:r w:rsidR="00795021" w:rsidRPr="00C00F2A">
        <w:rPr>
          <w:sz w:val="22"/>
          <w:szCs w:val="22"/>
        </w:rPr>
        <w:t>j</w:t>
      </w:r>
      <w:r w:rsidRPr="00C00F2A">
        <w:rPr>
          <w:sz w:val="22"/>
          <w:szCs w:val="22"/>
        </w:rPr>
        <w:t xml:space="preserve">etska zdravstvena organizacija, a u Srbiji je koordinisan od strane Nacionalne komisije za mentalno zdravlje Ministarstva zdravlja. U Projektu je nastao dokument, koji se smatra nacionalnom politikom za mentalno zdravlje, a koji je januara 2007. godine usvojila Vlada Republike Srbije pod nazivom: „Strategija razvoja zaštite mentalnog zdravlja“. Ovaj dokument je u skladu sa preporukama SZO iz 2001. godine, a koje se odnose na mentalno zdravlje, i sa Deklaracijom o mentalnom zdravlju za Evropu, usvojenom na Evropskoj ministarskoj konferenciji januara 2005. godine u Helsinkiju. Kao ključna obaveza, u okviru tog Projekta je </w:t>
      </w:r>
      <w:r w:rsidRPr="00C00F2A">
        <w:rPr>
          <w:sz w:val="22"/>
          <w:szCs w:val="22"/>
        </w:rPr>
        <w:lastRenderedPageBreak/>
        <w:t>formiran prvi Centar za zaštitu mentalnog zdravlja u zajednici u Srbiji. Struktura i organizacija službi u Pilot centru osmišljene su na način da on može predstavljati model za sve buduće centre za zaštitu mentalnog zdravlja u zajednici u Srbiji.</w:t>
      </w:r>
    </w:p>
    <w:p w:rsidR="0080490A" w:rsidRPr="00C00F2A" w:rsidRDefault="0080490A" w:rsidP="009233BE">
      <w:pPr>
        <w:jc w:val="both"/>
        <w:rPr>
          <w:sz w:val="22"/>
          <w:szCs w:val="22"/>
        </w:rPr>
      </w:pPr>
      <w:r w:rsidRPr="00C00F2A">
        <w:rPr>
          <w:sz w:val="22"/>
          <w:szCs w:val="22"/>
        </w:rPr>
        <w:t>Prvi srpski Centar za zaštitu mentalnog zdravlja u zajednici formiran je u najvećoj niškoj opštini Medijana. Pilot centar je formiran kao posebna organizaciona jedinica Specijalne bolnice za psihijatrijske bolesti „Gornja Toponica“ uz angažovanje stručnog kadra Bolnice, ali je dislociran iz bolničkog kruga i sm</w:t>
      </w:r>
      <w:r w:rsidR="00F02BCE" w:rsidRPr="00C00F2A">
        <w:rPr>
          <w:sz w:val="22"/>
          <w:szCs w:val="22"/>
        </w:rPr>
        <w:t>j</w:t>
      </w:r>
      <w:r w:rsidRPr="00C00F2A">
        <w:rPr>
          <w:sz w:val="22"/>
          <w:szCs w:val="22"/>
        </w:rPr>
        <w:t>ešten u sam centar gradske opštine Medijana. Izm</w:t>
      </w:r>
      <w:r w:rsidR="00E87F66" w:rsidRPr="00C00F2A">
        <w:rPr>
          <w:sz w:val="22"/>
          <w:szCs w:val="22"/>
        </w:rPr>
        <w:t>j</w:t>
      </w:r>
      <w:r w:rsidRPr="00C00F2A">
        <w:rPr>
          <w:sz w:val="22"/>
          <w:szCs w:val="22"/>
        </w:rPr>
        <w:t>eštanjem iz Bolnice, Pilot centar je predstavljen kao alternativa hospitalizaciji, povećana je dostupnost i naglašena orijentacija ka vaninstitucionalnom l</w:t>
      </w:r>
      <w:r w:rsidR="00F02BCE" w:rsidRPr="00C00F2A">
        <w:rPr>
          <w:sz w:val="22"/>
          <w:szCs w:val="22"/>
        </w:rPr>
        <w:t>ij</w:t>
      </w:r>
      <w:r w:rsidRPr="00C00F2A">
        <w:rPr>
          <w:sz w:val="22"/>
          <w:szCs w:val="22"/>
        </w:rPr>
        <w:t>ečenju. Osnovna ideja pri formiranju centra bila je obezb</w:t>
      </w:r>
      <w:r w:rsidR="00F02BCE" w:rsidRPr="00C00F2A">
        <w:rPr>
          <w:sz w:val="22"/>
          <w:szCs w:val="22"/>
        </w:rPr>
        <w:t>j</w:t>
      </w:r>
      <w:r w:rsidRPr="00C00F2A">
        <w:rPr>
          <w:sz w:val="22"/>
          <w:szCs w:val="22"/>
        </w:rPr>
        <w:t>eđivanje sveobuhvatnog psihijatrijskog tretmana za sve žitelje opštine Medijana, bez obzira da li se radi o lakšem ili težem poremećaju mentalnog zdravlja, nepsihotičnom ili psihotičnom. U ostvarivanju te ideje multidisciplinarni tim Pilot centra se rukovodio:</w:t>
      </w:r>
    </w:p>
    <w:p w:rsidR="0080490A" w:rsidRPr="00C00F2A" w:rsidRDefault="0080490A" w:rsidP="009233BE">
      <w:pPr>
        <w:pStyle w:val="ListParagraph"/>
        <w:numPr>
          <w:ilvl w:val="0"/>
          <w:numId w:val="11"/>
        </w:numPr>
        <w:jc w:val="both"/>
        <w:rPr>
          <w:sz w:val="22"/>
          <w:szCs w:val="22"/>
        </w:rPr>
      </w:pPr>
      <w:r w:rsidRPr="00C00F2A">
        <w:rPr>
          <w:rFonts w:ascii="Calibri" w:hAnsi="Calibri" w:cs="Calibri"/>
          <w:sz w:val="22"/>
          <w:szCs w:val="22"/>
        </w:rPr>
        <w:t></w:t>
      </w:r>
      <w:r w:rsidRPr="00C00F2A">
        <w:rPr>
          <w:sz w:val="22"/>
          <w:szCs w:val="22"/>
        </w:rPr>
        <w:t xml:space="preserve"> Teritorijalnim principom,</w:t>
      </w:r>
    </w:p>
    <w:p w:rsidR="0080490A" w:rsidRPr="00C00F2A" w:rsidRDefault="0080490A" w:rsidP="009233BE">
      <w:pPr>
        <w:pStyle w:val="ListParagraph"/>
        <w:numPr>
          <w:ilvl w:val="0"/>
          <w:numId w:val="11"/>
        </w:numPr>
        <w:jc w:val="both"/>
        <w:rPr>
          <w:sz w:val="22"/>
          <w:szCs w:val="22"/>
        </w:rPr>
      </w:pPr>
      <w:r w:rsidRPr="00C00F2A">
        <w:rPr>
          <w:rFonts w:ascii="Calibri" w:hAnsi="Calibri" w:cs="Calibri"/>
          <w:sz w:val="22"/>
          <w:szCs w:val="22"/>
        </w:rPr>
        <w:t></w:t>
      </w:r>
      <w:r w:rsidRPr="00C00F2A">
        <w:rPr>
          <w:sz w:val="22"/>
          <w:szCs w:val="22"/>
        </w:rPr>
        <w:t xml:space="preserve"> principom terapijskog kontinuiteta,</w:t>
      </w:r>
    </w:p>
    <w:p w:rsidR="0080490A" w:rsidRPr="00C00F2A" w:rsidRDefault="0080490A" w:rsidP="009233BE">
      <w:pPr>
        <w:pStyle w:val="ListParagraph"/>
        <w:numPr>
          <w:ilvl w:val="0"/>
          <w:numId w:val="11"/>
        </w:numPr>
        <w:jc w:val="both"/>
        <w:rPr>
          <w:sz w:val="22"/>
          <w:szCs w:val="22"/>
        </w:rPr>
      </w:pPr>
      <w:r w:rsidRPr="00C00F2A">
        <w:rPr>
          <w:rFonts w:ascii="Calibri" w:hAnsi="Calibri" w:cs="Calibri"/>
          <w:sz w:val="22"/>
          <w:szCs w:val="22"/>
        </w:rPr>
        <w:t></w:t>
      </w:r>
      <w:r w:rsidRPr="00C00F2A">
        <w:rPr>
          <w:sz w:val="22"/>
          <w:szCs w:val="22"/>
        </w:rPr>
        <w:t xml:space="preserve"> individualizacijom tretmana,</w:t>
      </w:r>
    </w:p>
    <w:p w:rsidR="0080490A" w:rsidRPr="00C00F2A" w:rsidRDefault="0080490A" w:rsidP="009233BE">
      <w:pPr>
        <w:pStyle w:val="ListParagraph"/>
        <w:numPr>
          <w:ilvl w:val="0"/>
          <w:numId w:val="11"/>
        </w:numPr>
        <w:jc w:val="both"/>
        <w:rPr>
          <w:sz w:val="22"/>
          <w:szCs w:val="22"/>
        </w:rPr>
      </w:pPr>
      <w:r w:rsidRPr="00C00F2A">
        <w:rPr>
          <w:rFonts w:ascii="Calibri" w:hAnsi="Calibri" w:cs="Calibri"/>
          <w:sz w:val="22"/>
          <w:szCs w:val="22"/>
        </w:rPr>
        <w:t></w:t>
      </w:r>
      <w:r w:rsidRPr="00C00F2A">
        <w:rPr>
          <w:sz w:val="22"/>
          <w:szCs w:val="22"/>
        </w:rPr>
        <w:t xml:space="preserve"> uvođenjem case management-a,</w:t>
      </w:r>
    </w:p>
    <w:p w:rsidR="0080490A" w:rsidRPr="00C00F2A" w:rsidRDefault="0080490A" w:rsidP="009233BE">
      <w:pPr>
        <w:pStyle w:val="ListParagraph"/>
        <w:numPr>
          <w:ilvl w:val="0"/>
          <w:numId w:val="11"/>
        </w:numPr>
        <w:jc w:val="both"/>
        <w:rPr>
          <w:sz w:val="22"/>
          <w:szCs w:val="22"/>
        </w:rPr>
      </w:pPr>
      <w:r w:rsidRPr="00C00F2A">
        <w:rPr>
          <w:rFonts w:ascii="Calibri" w:hAnsi="Calibri" w:cs="Calibri"/>
          <w:sz w:val="22"/>
          <w:szCs w:val="22"/>
        </w:rPr>
        <w:t></w:t>
      </w:r>
      <w:r w:rsidRPr="00C00F2A">
        <w:rPr>
          <w:sz w:val="22"/>
          <w:szCs w:val="22"/>
        </w:rPr>
        <w:t xml:space="preserve"> 24-satnom dostupnošću za korisnike, i</w:t>
      </w:r>
    </w:p>
    <w:p w:rsidR="0080490A" w:rsidRDefault="0080490A" w:rsidP="009233BE">
      <w:pPr>
        <w:pStyle w:val="ListParagraph"/>
        <w:numPr>
          <w:ilvl w:val="0"/>
          <w:numId w:val="11"/>
        </w:numPr>
        <w:jc w:val="both"/>
        <w:rPr>
          <w:sz w:val="22"/>
          <w:szCs w:val="22"/>
        </w:rPr>
      </w:pPr>
      <w:r w:rsidRPr="00C00F2A">
        <w:rPr>
          <w:rFonts w:ascii="Calibri" w:hAnsi="Calibri" w:cs="Calibri"/>
          <w:sz w:val="22"/>
          <w:szCs w:val="22"/>
        </w:rPr>
        <w:t></w:t>
      </w:r>
      <w:r w:rsidRPr="00C00F2A">
        <w:rPr>
          <w:sz w:val="22"/>
          <w:szCs w:val="22"/>
        </w:rPr>
        <w:t xml:space="preserve"> intersektorskom saradnjom.</w:t>
      </w:r>
    </w:p>
    <w:p w:rsidR="00E00D1D" w:rsidRPr="00C00F2A" w:rsidRDefault="00E00D1D" w:rsidP="00E00D1D">
      <w:pPr>
        <w:pStyle w:val="ListParagraph"/>
        <w:jc w:val="both"/>
        <w:rPr>
          <w:sz w:val="22"/>
          <w:szCs w:val="22"/>
        </w:rPr>
      </w:pPr>
    </w:p>
    <w:p w:rsidR="0074069D" w:rsidRPr="00C00F2A" w:rsidRDefault="0074069D" w:rsidP="009233BE">
      <w:pPr>
        <w:jc w:val="both"/>
        <w:rPr>
          <w:sz w:val="22"/>
          <w:szCs w:val="22"/>
        </w:rPr>
      </w:pPr>
      <w:r w:rsidRPr="00C00F2A">
        <w:rPr>
          <w:sz w:val="22"/>
          <w:szCs w:val="22"/>
        </w:rPr>
        <w:t>Obezb</w:t>
      </w:r>
      <w:r w:rsidR="00F02BCE" w:rsidRPr="00C00F2A">
        <w:rPr>
          <w:sz w:val="22"/>
          <w:szCs w:val="22"/>
        </w:rPr>
        <w:t>j</w:t>
      </w:r>
      <w:r w:rsidRPr="00C00F2A">
        <w:rPr>
          <w:sz w:val="22"/>
          <w:szCs w:val="22"/>
        </w:rPr>
        <w:t>eđujući po prvi put sveobuhvatni i, još važnije, kontinuirani psihijatrijski tretman za obol</w:t>
      </w:r>
      <w:r w:rsidR="00F02BCE" w:rsidRPr="00C00F2A">
        <w:rPr>
          <w:sz w:val="22"/>
          <w:szCs w:val="22"/>
        </w:rPr>
        <w:t>j</w:t>
      </w:r>
      <w:r w:rsidRPr="00C00F2A">
        <w:rPr>
          <w:sz w:val="22"/>
          <w:szCs w:val="22"/>
        </w:rPr>
        <w:t xml:space="preserve">ele od psihoza koji žive na teritoriji opštine Medijana, </w:t>
      </w:r>
      <w:r w:rsidRPr="00A31FAC">
        <w:rPr>
          <w:b/>
          <w:sz w:val="22"/>
          <w:szCs w:val="22"/>
        </w:rPr>
        <w:t>vrlo brzo se došlo do toga da skoro svi pacijenti iz ove opštine, koji su bili na dugotrajnoj hospitalizaciji u G. Toponici, napuste bolnicu i da sada žive u zajednici uz adekvatnu podršku članova multidisciplinarnih timova Centra.</w:t>
      </w:r>
    </w:p>
    <w:p w:rsidR="00DC637B" w:rsidRPr="00C00F2A" w:rsidRDefault="0074069D" w:rsidP="009233BE">
      <w:pPr>
        <w:jc w:val="both"/>
        <w:rPr>
          <w:sz w:val="22"/>
          <w:szCs w:val="22"/>
        </w:rPr>
      </w:pPr>
      <w:r w:rsidRPr="00C00F2A">
        <w:rPr>
          <w:sz w:val="22"/>
          <w:szCs w:val="22"/>
        </w:rPr>
        <w:t>Više od tri godine rada</w:t>
      </w:r>
      <w:r w:rsidR="00DD181C" w:rsidRPr="00C00F2A">
        <w:rPr>
          <w:sz w:val="22"/>
          <w:szCs w:val="22"/>
        </w:rPr>
        <w:t xml:space="preserve"> </w:t>
      </w:r>
      <w:r w:rsidRPr="00C00F2A">
        <w:rPr>
          <w:sz w:val="22"/>
          <w:szCs w:val="22"/>
        </w:rPr>
        <w:t>suočilo nas je sa činjenicom da i pored entuzijazma personala jedan manji broj korisnika obol</w:t>
      </w:r>
      <w:r w:rsidR="003F6841" w:rsidRPr="00C00F2A">
        <w:rPr>
          <w:sz w:val="22"/>
          <w:szCs w:val="22"/>
        </w:rPr>
        <w:t>j</w:t>
      </w:r>
      <w:r w:rsidRPr="00C00F2A">
        <w:rPr>
          <w:sz w:val="22"/>
          <w:szCs w:val="22"/>
        </w:rPr>
        <w:t>elih od šizofrenije, sa težom kliničkom slikom i nepovoljnijim tokom bolesti, bez rodbine, bez adekvatnog stambenog prostora i redovnih m</w:t>
      </w:r>
      <w:r w:rsidR="003F6841" w:rsidRPr="00C00F2A">
        <w:rPr>
          <w:sz w:val="22"/>
          <w:szCs w:val="22"/>
        </w:rPr>
        <w:t>j</w:t>
      </w:r>
      <w:r w:rsidRPr="00C00F2A">
        <w:rPr>
          <w:sz w:val="22"/>
          <w:szCs w:val="22"/>
        </w:rPr>
        <w:t>esečnih primanja, ne može izaći iz bolnice i l</w:t>
      </w:r>
      <w:r w:rsidR="003F6841" w:rsidRPr="00C00F2A">
        <w:rPr>
          <w:sz w:val="22"/>
          <w:szCs w:val="22"/>
        </w:rPr>
        <w:t>ij</w:t>
      </w:r>
      <w:r w:rsidRPr="00C00F2A">
        <w:rPr>
          <w:sz w:val="22"/>
          <w:szCs w:val="22"/>
        </w:rPr>
        <w:t>ečiti se u zajednici</w:t>
      </w:r>
      <w:r w:rsidR="003F6841" w:rsidRPr="00C00F2A">
        <w:rPr>
          <w:sz w:val="22"/>
          <w:szCs w:val="22"/>
        </w:rPr>
        <w:t>,</w:t>
      </w:r>
      <w:r w:rsidRPr="00C00F2A">
        <w:rPr>
          <w:sz w:val="22"/>
          <w:szCs w:val="22"/>
        </w:rPr>
        <w:t xml:space="preserve"> ukoliko se kao jedan od oblika zaštite mentalnog zdravlja ne uvede zaštićeno stanovanje. Uvođenje zaštićenih stanova, koji bi mogli biti u nadležnosti Centara za socijalni rad, sa različitim nivoima podrške koju obezb</w:t>
      </w:r>
      <w:r w:rsidR="003F6841" w:rsidRPr="00C00F2A">
        <w:rPr>
          <w:sz w:val="22"/>
          <w:szCs w:val="22"/>
        </w:rPr>
        <w:t>j</w:t>
      </w:r>
      <w:r w:rsidRPr="00C00F2A">
        <w:rPr>
          <w:sz w:val="22"/>
          <w:szCs w:val="22"/>
        </w:rPr>
        <w:t>eđuju multidisciplinarni timovi službi za zaštitu mentalnog zdravlja u zajednici (samo kućne pos</w:t>
      </w:r>
      <w:r w:rsidR="003F6841" w:rsidRPr="00C00F2A">
        <w:rPr>
          <w:sz w:val="22"/>
          <w:szCs w:val="22"/>
        </w:rPr>
        <w:t>j</w:t>
      </w:r>
      <w:r w:rsidRPr="00C00F2A">
        <w:rPr>
          <w:sz w:val="22"/>
          <w:szCs w:val="22"/>
        </w:rPr>
        <w:t>ete, pr</w:t>
      </w:r>
      <w:r w:rsidR="003F6841" w:rsidRPr="00C00F2A">
        <w:rPr>
          <w:sz w:val="22"/>
          <w:szCs w:val="22"/>
        </w:rPr>
        <w:t>ij</w:t>
      </w:r>
      <w:r w:rsidRPr="00C00F2A">
        <w:rPr>
          <w:sz w:val="22"/>
          <w:szCs w:val="22"/>
        </w:rPr>
        <w:t>epodnevno prisustvo terapeuta, dnevno prisustvo terapeuta ili 24-časovno prisustvo) u narednim godinama bi ukinulo potrebu za dugotrajnim hospitalizacijama u psihijatrijskim bolnicama ili za trajnim sm</w:t>
      </w:r>
      <w:r w:rsidR="003F6841" w:rsidRPr="00C00F2A">
        <w:rPr>
          <w:sz w:val="22"/>
          <w:szCs w:val="22"/>
        </w:rPr>
        <w:t>j</w:t>
      </w:r>
      <w:r w:rsidRPr="00C00F2A">
        <w:rPr>
          <w:sz w:val="22"/>
          <w:szCs w:val="22"/>
        </w:rPr>
        <w:t>eštajem mentalno obol</w:t>
      </w:r>
      <w:r w:rsidR="003F6841" w:rsidRPr="00C00F2A">
        <w:rPr>
          <w:sz w:val="22"/>
          <w:szCs w:val="22"/>
        </w:rPr>
        <w:t>j</w:t>
      </w:r>
      <w:r w:rsidRPr="00C00F2A">
        <w:rPr>
          <w:sz w:val="22"/>
          <w:szCs w:val="22"/>
        </w:rPr>
        <w:t>elih osoba u ustanovama socijalne zaštite azilarnog tipa.</w:t>
      </w:r>
    </w:p>
    <w:p w:rsidR="00E101DE" w:rsidRPr="00C00F2A" w:rsidRDefault="001B18C8" w:rsidP="003A019C">
      <w:pPr>
        <w:jc w:val="both"/>
        <w:rPr>
          <w:sz w:val="22"/>
          <w:szCs w:val="22"/>
        </w:rPr>
      </w:pPr>
      <w:r w:rsidRPr="00C00F2A">
        <w:rPr>
          <w:sz w:val="22"/>
          <w:szCs w:val="22"/>
        </w:rPr>
        <w:t>Na žalost, za funkcionisanje ovog centra nije obezb</w:t>
      </w:r>
      <w:r w:rsidR="00A72558" w:rsidRPr="00C00F2A">
        <w:rPr>
          <w:sz w:val="22"/>
          <w:szCs w:val="22"/>
        </w:rPr>
        <w:t>ij</w:t>
      </w:r>
      <w:r w:rsidRPr="00C00F2A">
        <w:rPr>
          <w:sz w:val="22"/>
          <w:szCs w:val="22"/>
        </w:rPr>
        <w:t>eđeno dalje finansiranje, a novi Zakon o zaštiti osoba sa mentalnim smetnjama</w:t>
      </w:r>
      <w:r w:rsidR="00770730" w:rsidRPr="00C00F2A">
        <w:rPr>
          <w:rStyle w:val="FootnoteReference"/>
          <w:sz w:val="22"/>
          <w:szCs w:val="22"/>
        </w:rPr>
        <w:footnoteReference w:id="29"/>
      </w:r>
      <w:r w:rsidRPr="00C00F2A">
        <w:rPr>
          <w:sz w:val="22"/>
          <w:szCs w:val="22"/>
        </w:rPr>
        <w:t xml:space="preserve"> predviđa osnivanje centara za mentalno zdravlje u zajednici koji pods</w:t>
      </w:r>
      <w:r w:rsidR="00A72558" w:rsidRPr="00C00F2A">
        <w:rPr>
          <w:sz w:val="22"/>
          <w:szCs w:val="22"/>
        </w:rPr>
        <w:t>j</w:t>
      </w:r>
      <w:r w:rsidRPr="00C00F2A">
        <w:rPr>
          <w:sz w:val="22"/>
          <w:szCs w:val="22"/>
        </w:rPr>
        <w:t xml:space="preserve">ećaju na centre koji postoje u Crnoj Gori. Sada preostaje da se vidi kako će njihovo funkcionisanje biti </w:t>
      </w:r>
      <w:r w:rsidRPr="00C00F2A">
        <w:rPr>
          <w:sz w:val="22"/>
          <w:szCs w:val="22"/>
        </w:rPr>
        <w:lastRenderedPageBreak/>
        <w:t>organizovano putem podzakonskih akata i u praksi.</w:t>
      </w:r>
      <w:r w:rsidR="000462D8" w:rsidRPr="00C00F2A">
        <w:rPr>
          <w:sz w:val="22"/>
          <w:szCs w:val="22"/>
        </w:rPr>
        <w:t xml:space="preserve"> Ipak, iskustva centra za mentalno zdravlje opštine Medijana su značajna za dalje unapređivanje usluga koje se pružaju osobama sa problemima mentalnog zdravlja.</w:t>
      </w:r>
      <w:r w:rsidR="005E3CD1" w:rsidRPr="00C00F2A">
        <w:rPr>
          <w:sz w:val="22"/>
          <w:szCs w:val="22"/>
        </w:rPr>
        <w:t xml:space="preserve"> </w:t>
      </w:r>
    </w:p>
    <w:p w:rsidR="00E101DE" w:rsidRPr="00C00F2A" w:rsidRDefault="00B94B63" w:rsidP="009233BE">
      <w:pPr>
        <w:jc w:val="both"/>
        <w:rPr>
          <w:sz w:val="22"/>
          <w:szCs w:val="22"/>
        </w:rPr>
      </w:pPr>
      <w:r w:rsidRPr="0009026E">
        <w:rPr>
          <w:sz w:val="22"/>
          <w:szCs w:val="22"/>
        </w:rPr>
        <w:t>U okviru projekta „Otvoreni zagrljaj“,</w:t>
      </w:r>
      <w:r w:rsidRPr="0009026E">
        <w:rPr>
          <w:rStyle w:val="FootnoteReference"/>
          <w:sz w:val="22"/>
          <w:szCs w:val="22"/>
        </w:rPr>
        <w:footnoteReference w:id="30"/>
      </w:r>
      <w:r w:rsidRPr="0009026E">
        <w:rPr>
          <w:sz w:val="22"/>
          <w:szCs w:val="22"/>
        </w:rPr>
        <w:t xml:space="preserve"> podržanog od strane Evropske unije, pokrenuta su još dva centra za mentalno zdravlje u zajednici u Kikindi</w:t>
      </w:r>
      <w:r w:rsidR="00E00D1D" w:rsidRPr="0009026E">
        <w:rPr>
          <w:sz w:val="22"/>
          <w:szCs w:val="22"/>
        </w:rPr>
        <w:t xml:space="preserve"> </w:t>
      </w:r>
      <w:r w:rsidRPr="0009026E">
        <w:rPr>
          <w:rStyle w:val="FootnoteReference"/>
          <w:sz w:val="22"/>
          <w:szCs w:val="22"/>
        </w:rPr>
        <w:footnoteReference w:id="31"/>
      </w:r>
      <w:r w:rsidRPr="0009026E">
        <w:rPr>
          <w:sz w:val="22"/>
          <w:szCs w:val="22"/>
        </w:rPr>
        <w:t xml:space="preserve"> i Vršcu</w:t>
      </w:r>
      <w:r w:rsidR="00E00D1D" w:rsidRPr="0009026E">
        <w:rPr>
          <w:sz w:val="22"/>
          <w:szCs w:val="22"/>
        </w:rPr>
        <w:t xml:space="preserve"> </w:t>
      </w:r>
      <w:r w:rsidRPr="0009026E">
        <w:rPr>
          <w:rStyle w:val="FootnoteReference"/>
          <w:sz w:val="22"/>
          <w:szCs w:val="22"/>
        </w:rPr>
        <w:footnoteReference w:id="32"/>
      </w:r>
      <w:r w:rsidRPr="0009026E">
        <w:rPr>
          <w:sz w:val="22"/>
          <w:szCs w:val="22"/>
        </w:rPr>
        <w:t>. Sada preostaje da se vidi kako će njihovo funkcionisanje biti podržano putem podzakonskih akata i u praksi.</w:t>
      </w:r>
    </w:p>
    <w:p w:rsidR="00E00D1D" w:rsidRDefault="00E00D1D">
      <w:pPr>
        <w:rPr>
          <w:sz w:val="22"/>
          <w:szCs w:val="22"/>
        </w:rPr>
      </w:pPr>
      <w:r>
        <w:rPr>
          <w:sz w:val="22"/>
          <w:szCs w:val="22"/>
        </w:rPr>
        <w:br w:type="page"/>
      </w:r>
    </w:p>
    <w:p w:rsidR="00743D01" w:rsidRPr="00C00F2A" w:rsidRDefault="00724CD2" w:rsidP="00743D01">
      <w:pPr>
        <w:pStyle w:val="Heading2"/>
      </w:pPr>
      <w:bookmarkStart w:id="19" w:name="_Toc473540827"/>
      <w:r w:rsidRPr="00C00F2A">
        <w:lastRenderedPageBreak/>
        <w:t>P</w:t>
      </w:r>
      <w:r w:rsidR="00617C3D" w:rsidRPr="00C00F2A">
        <w:t>rikaz stanja u C</w:t>
      </w:r>
      <w:r w:rsidR="00396FA3" w:rsidRPr="00C00F2A">
        <w:t xml:space="preserve">rnoj </w:t>
      </w:r>
      <w:r w:rsidR="00617C3D" w:rsidRPr="00C00F2A">
        <w:t>G</w:t>
      </w:r>
      <w:r w:rsidR="00396FA3" w:rsidRPr="00C00F2A">
        <w:t>ori</w:t>
      </w:r>
      <w:bookmarkEnd w:id="19"/>
    </w:p>
    <w:p w:rsidR="007321B0" w:rsidRPr="00C00F2A" w:rsidRDefault="007321B0" w:rsidP="008848E0">
      <w:pPr>
        <w:rPr>
          <w:sz w:val="22"/>
          <w:szCs w:val="22"/>
        </w:rPr>
      </w:pPr>
    </w:p>
    <w:p w:rsidR="008848E0" w:rsidRPr="00C00F2A" w:rsidRDefault="00125392" w:rsidP="009233BE">
      <w:pPr>
        <w:jc w:val="both"/>
        <w:rPr>
          <w:sz w:val="22"/>
          <w:szCs w:val="22"/>
        </w:rPr>
      </w:pPr>
      <w:r w:rsidRPr="00C00F2A">
        <w:rPr>
          <w:sz w:val="22"/>
          <w:szCs w:val="22"/>
        </w:rPr>
        <w:t>Crna Gora je 2009. g</w:t>
      </w:r>
      <w:r w:rsidR="00457FA3" w:rsidRPr="00C00F2A">
        <w:rPr>
          <w:sz w:val="22"/>
          <w:szCs w:val="22"/>
        </w:rPr>
        <w:t>odine ratifikovala Konvenciju za prava osoba sa invaliditetom i njen Opcion</w:t>
      </w:r>
      <w:r w:rsidRPr="00C00F2A">
        <w:rPr>
          <w:sz w:val="22"/>
          <w:szCs w:val="22"/>
        </w:rPr>
        <w:t>i</w:t>
      </w:r>
      <w:r w:rsidR="00457FA3" w:rsidRPr="00C00F2A">
        <w:rPr>
          <w:sz w:val="22"/>
          <w:szCs w:val="22"/>
        </w:rPr>
        <w:t xml:space="preserve"> protokol,</w:t>
      </w:r>
      <w:r w:rsidR="00D262EE" w:rsidRPr="00C00F2A">
        <w:rPr>
          <w:rStyle w:val="FootnoteReference"/>
          <w:sz w:val="22"/>
          <w:szCs w:val="22"/>
        </w:rPr>
        <w:footnoteReference w:id="33"/>
      </w:r>
      <w:r w:rsidR="00457FA3" w:rsidRPr="00C00F2A">
        <w:rPr>
          <w:sz w:val="22"/>
          <w:szCs w:val="22"/>
        </w:rPr>
        <w:t xml:space="preserve"> čime je preuzela obave</w:t>
      </w:r>
      <w:r w:rsidR="007321B0" w:rsidRPr="00C00F2A">
        <w:rPr>
          <w:sz w:val="22"/>
          <w:szCs w:val="22"/>
        </w:rPr>
        <w:t>zu da shodno odredbama člana 19</w:t>
      </w:r>
      <w:r w:rsidR="00457FA3" w:rsidRPr="00C00F2A">
        <w:rPr>
          <w:sz w:val="22"/>
          <w:szCs w:val="22"/>
        </w:rPr>
        <w:t xml:space="preserve"> Konvencije sprovede proced</w:t>
      </w:r>
      <w:r w:rsidR="007321B0" w:rsidRPr="00C00F2A">
        <w:rPr>
          <w:sz w:val="22"/>
          <w:szCs w:val="22"/>
        </w:rPr>
        <w:t>uru</w:t>
      </w:r>
      <w:r w:rsidR="00457FA3" w:rsidRPr="00C00F2A">
        <w:rPr>
          <w:sz w:val="22"/>
          <w:szCs w:val="22"/>
        </w:rPr>
        <w:t xml:space="preserve"> deinstitucionalizacije i svim osobama sa invaliditetom omogući život u zajednici uz odgovarajuću podršku. </w:t>
      </w:r>
    </w:p>
    <w:p w:rsidR="0040215F" w:rsidRPr="00C00F2A" w:rsidRDefault="00460FD8" w:rsidP="009233BE">
      <w:pPr>
        <w:jc w:val="both"/>
        <w:rPr>
          <w:sz w:val="22"/>
          <w:szCs w:val="22"/>
        </w:rPr>
      </w:pPr>
      <w:r w:rsidRPr="00C00F2A">
        <w:rPr>
          <w:sz w:val="22"/>
          <w:szCs w:val="22"/>
        </w:rPr>
        <w:t>Što se strateškog okvira tiče, p</w:t>
      </w:r>
      <w:r w:rsidR="0040215F" w:rsidRPr="00C00F2A">
        <w:rPr>
          <w:sz w:val="22"/>
          <w:szCs w:val="22"/>
        </w:rPr>
        <w:t>rva Strategija za integraciju lica sa invaliditetom u Crnoj Gori don</w:t>
      </w:r>
      <w:r w:rsidR="00A72558" w:rsidRPr="00C00F2A">
        <w:rPr>
          <w:sz w:val="22"/>
          <w:szCs w:val="22"/>
        </w:rPr>
        <w:t>ij</w:t>
      </w:r>
      <w:r w:rsidR="0040215F" w:rsidRPr="00C00F2A">
        <w:rPr>
          <w:sz w:val="22"/>
          <w:szCs w:val="22"/>
        </w:rPr>
        <w:t>eta je 2007. godine, a nedavno je usvojena i nova Strategija za period do 2020. godine. M</w:t>
      </w:r>
      <w:r w:rsidR="00C92F0D" w:rsidRPr="00C00F2A">
        <w:rPr>
          <w:sz w:val="22"/>
          <w:szCs w:val="22"/>
        </w:rPr>
        <w:t>e</w:t>
      </w:r>
      <w:r w:rsidR="0040215F" w:rsidRPr="00C00F2A">
        <w:rPr>
          <w:sz w:val="22"/>
          <w:szCs w:val="22"/>
        </w:rPr>
        <w:t>đutim, nova Strategija za integraciju osoba sa invaliditetom u većini oblasti ne nudi značajno un</w:t>
      </w:r>
      <w:r w:rsidR="00114C54" w:rsidRPr="00C00F2A">
        <w:rPr>
          <w:sz w:val="22"/>
          <w:szCs w:val="22"/>
        </w:rPr>
        <w:t>apr</w:t>
      </w:r>
      <w:r w:rsidR="00CD31B5" w:rsidRPr="00C00F2A">
        <w:rPr>
          <w:sz w:val="22"/>
          <w:szCs w:val="22"/>
        </w:rPr>
        <w:t>ij</w:t>
      </w:r>
      <w:r w:rsidR="00114C54" w:rsidRPr="00C00F2A">
        <w:rPr>
          <w:sz w:val="22"/>
          <w:szCs w:val="22"/>
        </w:rPr>
        <w:t>eđene m</w:t>
      </w:r>
      <w:r w:rsidR="00A72558" w:rsidRPr="00C00F2A">
        <w:rPr>
          <w:sz w:val="22"/>
          <w:szCs w:val="22"/>
        </w:rPr>
        <w:t>j</w:t>
      </w:r>
      <w:r w:rsidR="0040215F" w:rsidRPr="00C00F2A">
        <w:rPr>
          <w:sz w:val="22"/>
          <w:szCs w:val="22"/>
        </w:rPr>
        <w:t xml:space="preserve">ere u odnosu na prethodnu, iako se poziva na Evropsku Strategiju 2020, što je </w:t>
      </w:r>
      <w:r w:rsidR="007321B0" w:rsidRPr="00C00F2A">
        <w:rPr>
          <w:sz w:val="22"/>
          <w:szCs w:val="22"/>
        </w:rPr>
        <w:t xml:space="preserve">i </w:t>
      </w:r>
      <w:r w:rsidR="0040215F" w:rsidRPr="00C00F2A">
        <w:rPr>
          <w:sz w:val="22"/>
          <w:szCs w:val="22"/>
        </w:rPr>
        <w:t>njena najpozitivnija odlika.</w:t>
      </w:r>
      <w:r w:rsidR="0040215F" w:rsidRPr="00C00F2A">
        <w:rPr>
          <w:rStyle w:val="FootnoteReference"/>
          <w:sz w:val="22"/>
          <w:szCs w:val="22"/>
        </w:rPr>
        <w:footnoteReference w:id="34"/>
      </w:r>
    </w:p>
    <w:p w:rsidR="008848E0" w:rsidRPr="00C00F2A" w:rsidRDefault="00CD1E56" w:rsidP="009233BE">
      <w:pPr>
        <w:jc w:val="both"/>
        <w:rPr>
          <w:sz w:val="22"/>
          <w:szCs w:val="22"/>
        </w:rPr>
      </w:pPr>
      <w:r w:rsidRPr="00C00F2A">
        <w:rPr>
          <w:sz w:val="22"/>
          <w:szCs w:val="22"/>
        </w:rPr>
        <w:t xml:space="preserve">Iako Strategija prepoznaje važnost razvoja usluga koje se pružaju u zajednici, </w:t>
      </w:r>
      <w:r w:rsidRPr="0009026E">
        <w:rPr>
          <w:b/>
          <w:sz w:val="22"/>
          <w:szCs w:val="22"/>
        </w:rPr>
        <w:t>z</w:t>
      </w:r>
      <w:r w:rsidR="0040215F" w:rsidRPr="0009026E">
        <w:rPr>
          <w:b/>
          <w:sz w:val="22"/>
          <w:szCs w:val="22"/>
        </w:rPr>
        <w:t>abrinjava što je i dalje oblik zbrinjavanja osoba sa invaliditetom orijentisan na rezidencijalne ustanove</w:t>
      </w:r>
      <w:r w:rsidR="0040215F" w:rsidRPr="00C00F2A">
        <w:rPr>
          <w:sz w:val="22"/>
          <w:szCs w:val="22"/>
        </w:rPr>
        <w:t>,</w:t>
      </w:r>
      <w:r w:rsidR="00460FD8" w:rsidRPr="00C00F2A">
        <w:rPr>
          <w:sz w:val="22"/>
          <w:szCs w:val="22"/>
        </w:rPr>
        <w:t xml:space="preserve"> uz težnj</w:t>
      </w:r>
      <w:r w:rsidR="00114C54" w:rsidRPr="00C00F2A">
        <w:rPr>
          <w:sz w:val="22"/>
          <w:szCs w:val="22"/>
        </w:rPr>
        <w:t>e ka unapređivanju i širenju nji</w:t>
      </w:r>
      <w:r w:rsidR="00460FD8" w:rsidRPr="00C00F2A">
        <w:rPr>
          <w:sz w:val="22"/>
          <w:szCs w:val="22"/>
        </w:rPr>
        <w:t>hovog kapaciteta,</w:t>
      </w:r>
      <w:r w:rsidR="0040215F" w:rsidRPr="00C00F2A">
        <w:rPr>
          <w:sz w:val="22"/>
          <w:szCs w:val="22"/>
        </w:rPr>
        <w:t xml:space="preserve"> bez eksplicitnog pominjanja procesa deinstitucionalizacije. </w:t>
      </w:r>
      <w:r w:rsidR="007321B0" w:rsidRPr="00C00F2A">
        <w:rPr>
          <w:sz w:val="22"/>
          <w:szCs w:val="22"/>
        </w:rPr>
        <w:t xml:space="preserve">Iako se u strategiji </w:t>
      </w:r>
      <w:r w:rsidR="008848E0" w:rsidRPr="00C00F2A">
        <w:rPr>
          <w:sz w:val="22"/>
          <w:szCs w:val="22"/>
        </w:rPr>
        <w:t>navodi da se mentalnom zdravlju kao važnoj komponenti ukupnog zdravlja posvećuje potrebna pažnja, u m</w:t>
      </w:r>
      <w:r w:rsidR="009715C7" w:rsidRPr="00C00F2A">
        <w:rPr>
          <w:sz w:val="22"/>
          <w:szCs w:val="22"/>
        </w:rPr>
        <w:t>j</w:t>
      </w:r>
      <w:r w:rsidR="008848E0" w:rsidRPr="00C00F2A">
        <w:rPr>
          <w:sz w:val="22"/>
          <w:szCs w:val="22"/>
        </w:rPr>
        <w:t>erama</w:t>
      </w:r>
      <w:r w:rsidR="007321B0" w:rsidRPr="00C00F2A">
        <w:rPr>
          <w:sz w:val="22"/>
          <w:szCs w:val="22"/>
        </w:rPr>
        <w:t>,</w:t>
      </w:r>
      <w:r w:rsidR="008848E0" w:rsidRPr="00C00F2A">
        <w:rPr>
          <w:sz w:val="22"/>
          <w:szCs w:val="22"/>
        </w:rPr>
        <w:t xml:space="preserve"> koje su navedene</w:t>
      </w:r>
      <w:r w:rsidR="007321B0" w:rsidRPr="00C00F2A">
        <w:rPr>
          <w:sz w:val="22"/>
          <w:szCs w:val="22"/>
        </w:rPr>
        <w:t>,</w:t>
      </w:r>
      <w:r w:rsidR="008848E0" w:rsidRPr="00C00F2A">
        <w:rPr>
          <w:sz w:val="22"/>
          <w:szCs w:val="22"/>
        </w:rPr>
        <w:t xml:space="preserve"> nijedna se ne odnosi eksplicitno na ovu oblast niti na</w:t>
      </w:r>
      <w:r w:rsidR="007321B0" w:rsidRPr="00C00F2A">
        <w:rPr>
          <w:sz w:val="22"/>
          <w:szCs w:val="22"/>
        </w:rPr>
        <w:t xml:space="preserve"> osobe sa mentalnim smetnjama, </w:t>
      </w:r>
      <w:r w:rsidR="008848E0" w:rsidRPr="00C00F2A">
        <w:rPr>
          <w:sz w:val="22"/>
          <w:szCs w:val="22"/>
        </w:rPr>
        <w:t>a posebn</w:t>
      </w:r>
      <w:r w:rsidR="007321B0" w:rsidRPr="00C00F2A">
        <w:rPr>
          <w:sz w:val="22"/>
          <w:szCs w:val="22"/>
        </w:rPr>
        <w:t>o ne na grupu</w:t>
      </w:r>
      <w:r w:rsidR="008848E0" w:rsidRPr="00C00F2A">
        <w:rPr>
          <w:sz w:val="22"/>
          <w:szCs w:val="22"/>
        </w:rPr>
        <w:t xml:space="preserve"> ovih osoba</w:t>
      </w:r>
      <w:r w:rsidR="009715C7" w:rsidRPr="00C00F2A">
        <w:rPr>
          <w:sz w:val="22"/>
          <w:szCs w:val="22"/>
        </w:rPr>
        <w:t>,</w:t>
      </w:r>
      <w:r w:rsidR="008848E0" w:rsidRPr="00C00F2A">
        <w:rPr>
          <w:sz w:val="22"/>
          <w:szCs w:val="22"/>
        </w:rPr>
        <w:t xml:space="preserve"> koje se iz socijalnih razloga nalaze </w:t>
      </w:r>
      <w:r w:rsidR="007321B0" w:rsidRPr="00C00F2A">
        <w:rPr>
          <w:sz w:val="22"/>
          <w:szCs w:val="22"/>
        </w:rPr>
        <w:t>u Specijalnoj psihijatrijskoj bolnici u Kotoru</w:t>
      </w:r>
      <w:r w:rsidR="008848E0" w:rsidRPr="00C00F2A">
        <w:rPr>
          <w:sz w:val="22"/>
          <w:szCs w:val="22"/>
        </w:rPr>
        <w:t>, takozvanih „socijalnih pacijenata“.</w:t>
      </w:r>
    </w:p>
    <w:p w:rsidR="000F77EE" w:rsidRPr="00C00F2A" w:rsidRDefault="000F77EE" w:rsidP="009233BE">
      <w:pPr>
        <w:jc w:val="both"/>
        <w:rPr>
          <w:sz w:val="22"/>
          <w:szCs w:val="22"/>
        </w:rPr>
      </w:pPr>
      <w:r w:rsidRPr="0009026E">
        <w:rPr>
          <w:sz w:val="22"/>
          <w:szCs w:val="22"/>
        </w:rPr>
        <w:t>Uz ovu Strateguju problem predstavlja i član 40 Zakona o zaštiti i ostvarivanju prava mentalno obolelih lica</w:t>
      </w:r>
      <w:r w:rsidRPr="0009026E">
        <w:rPr>
          <w:rStyle w:val="FootnoteReference"/>
          <w:sz w:val="22"/>
          <w:szCs w:val="22"/>
        </w:rPr>
        <w:footnoteReference w:id="35"/>
      </w:r>
      <w:r w:rsidRPr="0009026E">
        <w:rPr>
          <w:sz w:val="22"/>
          <w:szCs w:val="22"/>
        </w:rPr>
        <w:t xml:space="preserve"> kojim se dozvoljava prem</w:t>
      </w:r>
      <w:r w:rsidR="00325103">
        <w:rPr>
          <w:sz w:val="22"/>
          <w:szCs w:val="22"/>
        </w:rPr>
        <w:t>j</w:t>
      </w:r>
      <w:r w:rsidRPr="0009026E">
        <w:rPr>
          <w:sz w:val="22"/>
          <w:szCs w:val="22"/>
        </w:rPr>
        <w:t xml:space="preserve">eštanje osoba iz psihijatrijskih ustanova u ustanove socijalne zaštite. Shodno tome, </w:t>
      </w:r>
      <w:r w:rsidRPr="0009026E">
        <w:rPr>
          <w:b/>
          <w:sz w:val="22"/>
          <w:szCs w:val="22"/>
        </w:rPr>
        <w:t>postoji realna opasnost da će „deinstitucionalizacija“ Specijalne psihijatrijske bolnice dovesti do povećanja kapaciteta ustanova socijalne zaštite, a ne do povratka ovih osoba u zajednicu</w:t>
      </w:r>
      <w:r w:rsidRPr="0009026E">
        <w:rPr>
          <w:sz w:val="22"/>
          <w:szCs w:val="22"/>
        </w:rPr>
        <w:t>.</w:t>
      </w:r>
    </w:p>
    <w:p w:rsidR="00AF2E55" w:rsidRPr="00C00F2A" w:rsidRDefault="00FC27D5" w:rsidP="009233BE">
      <w:pPr>
        <w:jc w:val="both"/>
        <w:rPr>
          <w:sz w:val="22"/>
          <w:szCs w:val="22"/>
        </w:rPr>
      </w:pPr>
      <w:r w:rsidRPr="00C00F2A">
        <w:rPr>
          <w:sz w:val="22"/>
          <w:szCs w:val="22"/>
        </w:rPr>
        <w:t>Sa druge strane, Strategija za unapređenje mental</w:t>
      </w:r>
      <w:r w:rsidR="005F4EF6">
        <w:rPr>
          <w:sz w:val="22"/>
          <w:szCs w:val="22"/>
        </w:rPr>
        <w:t>nog zdravlja u Republici Crnoj G</w:t>
      </w:r>
      <w:r w:rsidRPr="00C00F2A">
        <w:rPr>
          <w:sz w:val="22"/>
          <w:szCs w:val="22"/>
        </w:rPr>
        <w:t>ori</w:t>
      </w:r>
      <w:r w:rsidRPr="00C00F2A">
        <w:rPr>
          <w:rStyle w:val="FootnoteReference"/>
          <w:sz w:val="22"/>
          <w:szCs w:val="22"/>
        </w:rPr>
        <w:footnoteReference w:id="36"/>
      </w:r>
      <w:r w:rsidRPr="00C00F2A">
        <w:rPr>
          <w:sz w:val="22"/>
          <w:szCs w:val="22"/>
        </w:rPr>
        <w:t>, don</w:t>
      </w:r>
      <w:r w:rsidR="009715C7" w:rsidRPr="00C00F2A">
        <w:rPr>
          <w:sz w:val="22"/>
          <w:szCs w:val="22"/>
        </w:rPr>
        <w:t>ij</w:t>
      </w:r>
      <w:r w:rsidRPr="00C00F2A">
        <w:rPr>
          <w:sz w:val="22"/>
          <w:szCs w:val="22"/>
        </w:rPr>
        <w:t xml:space="preserve">eta 2004. godine, kao jednu od prioritetnih oblasti aktivnosti predviđa (re)organizaciju usluga i institucija: </w:t>
      </w:r>
    </w:p>
    <w:p w:rsidR="00FC27D5" w:rsidRPr="00C00F2A" w:rsidRDefault="00FC27D5" w:rsidP="0009026E">
      <w:pPr>
        <w:ind w:left="851" w:right="855"/>
        <w:jc w:val="both"/>
        <w:rPr>
          <w:sz w:val="22"/>
          <w:szCs w:val="22"/>
        </w:rPr>
      </w:pPr>
      <w:r w:rsidRPr="00C00F2A">
        <w:rPr>
          <w:sz w:val="22"/>
          <w:szCs w:val="22"/>
        </w:rPr>
        <w:t>„Treba reogranizovati sistem mentalnog zdravlja vodeći računa da se liječenje pacijenata iz velikih psihijatrijskih bolnica i klinika usmjeri na vanbolničke psihijatrijske službe, razvoj usluga za zaštitu mentalnog zdravlja na nivou lokalne zajednice, koji će obezbijediti sveobuhvatnu, manje restriktivnu i zaštitu mentalnog zdravlja koja je bliža zajednici, kao i uključivanje</w:t>
      </w:r>
      <w:r w:rsidR="005F4EF6">
        <w:rPr>
          <w:sz w:val="22"/>
          <w:szCs w:val="22"/>
        </w:rPr>
        <w:t xml:space="preserve"> zaštite mentalnog zdravlja u p</w:t>
      </w:r>
      <w:r w:rsidRPr="00C00F2A">
        <w:rPr>
          <w:sz w:val="22"/>
          <w:szCs w:val="22"/>
        </w:rPr>
        <w:t>r</w:t>
      </w:r>
      <w:r w:rsidR="005F4EF6">
        <w:rPr>
          <w:sz w:val="22"/>
          <w:szCs w:val="22"/>
        </w:rPr>
        <w:t>i</w:t>
      </w:r>
      <w:r w:rsidRPr="00C00F2A">
        <w:rPr>
          <w:sz w:val="22"/>
          <w:szCs w:val="22"/>
        </w:rPr>
        <w:t>marnu zaštitu.“</w:t>
      </w:r>
    </w:p>
    <w:p w:rsidR="009B6FB5" w:rsidRDefault="00B52F15" w:rsidP="009233BE">
      <w:pPr>
        <w:jc w:val="both"/>
        <w:rPr>
          <w:sz w:val="22"/>
          <w:szCs w:val="22"/>
        </w:rPr>
      </w:pPr>
      <w:r w:rsidRPr="00B52F15">
        <w:rPr>
          <w:rFonts w:eastAsia="Times New Roman" w:cs="Times New Roman"/>
          <w:noProof/>
          <w:sz w:val="22"/>
          <w:szCs w:val="22"/>
          <w:lang w:val="en-US"/>
        </w:rPr>
        <w:lastRenderedPageBreak/>
        <mc:AlternateContent>
          <mc:Choice Requires="wps">
            <w:drawing>
              <wp:anchor distT="0" distB="0" distL="114300" distR="114300" simplePos="0" relativeHeight="251698176" behindDoc="0" locked="0" layoutInCell="1" allowOverlap="1" wp14:anchorId="744DBDD3" wp14:editId="65783AAA">
                <wp:simplePos x="0" y="0"/>
                <wp:positionH relativeFrom="column">
                  <wp:posOffset>-8890</wp:posOffset>
                </wp:positionH>
                <wp:positionV relativeFrom="paragraph">
                  <wp:posOffset>2106930</wp:posOffset>
                </wp:positionV>
                <wp:extent cx="5879465" cy="3924935"/>
                <wp:effectExtent l="0" t="0" r="26035" b="18415"/>
                <wp:wrapTopAndBottom/>
                <wp:docPr id="8" name="Rounded Rectangle 8"/>
                <wp:cNvGraphicFramePr/>
                <a:graphic xmlns:a="http://schemas.openxmlformats.org/drawingml/2006/main">
                  <a:graphicData uri="http://schemas.microsoft.com/office/word/2010/wordprocessingShape">
                    <wps:wsp>
                      <wps:cNvSpPr/>
                      <wps:spPr>
                        <a:xfrm>
                          <a:off x="0" y="0"/>
                          <a:ext cx="5879465" cy="3924935"/>
                        </a:xfrm>
                        <a:prstGeom prst="roundRect">
                          <a:avLst/>
                        </a:prstGeom>
                        <a:solidFill>
                          <a:sysClr val="window" lastClr="FFFFFF"/>
                        </a:solidFill>
                        <a:ln w="25400" cap="flat" cmpd="sng" algn="ctr">
                          <a:solidFill>
                            <a:srgbClr val="4F81BD"/>
                          </a:solidFill>
                          <a:prstDash val="solid"/>
                        </a:ln>
                        <a:effectLst/>
                      </wps:spPr>
                      <wps:txbx>
                        <w:txbxContent>
                          <w:p w:rsidR="00F67406" w:rsidRPr="009B6FB5" w:rsidRDefault="00F67406" w:rsidP="00B52F15">
                            <w:pPr>
                              <w:rPr>
                                <w:sz w:val="22"/>
                                <w:szCs w:val="22"/>
                              </w:rPr>
                            </w:pPr>
                            <w:r w:rsidRPr="009B6FB5">
                              <w:rPr>
                                <w:sz w:val="22"/>
                                <w:szCs w:val="22"/>
                              </w:rPr>
                              <w:t>Izvještaj iz monitoringa 2013:*</w:t>
                            </w:r>
                          </w:p>
                          <w:p w:rsidR="00F67406" w:rsidRPr="009B6FB5" w:rsidRDefault="00F67406" w:rsidP="00B52F15">
                            <w:pPr>
                              <w:jc w:val="both"/>
                              <w:rPr>
                                <w:sz w:val="22"/>
                                <w:szCs w:val="22"/>
                              </w:rPr>
                            </w:pPr>
                            <w:r w:rsidRPr="009B6FB5">
                              <w:rPr>
                                <w:sz w:val="22"/>
                                <w:szCs w:val="22"/>
                              </w:rPr>
                              <w:t>Nažalost, pored primjetnog napretka, konstatujemo da neke od najvažnijih preporuka nijesu ispunjene, od kojih izdvajamo preporuku Ministarstvu rada i socijalnog staranja za rješavanje problema višegodišnjeg (čak višedecenijskog) boravka u Bolnici tzv. socijalnih pacijenata, osoba čije zdravstveno stanje ne zahtijeva dalje bolničko liječenje, ali koje u Bolnici nastavljaju da borave zbog nemogućnosti da na drugi, adekvatniji način budu socijalno zbrinute, kao i problem nedostaka bolničkog osoblja, u nadležnosti Ministarstva zdravlja. Preporuke o potrebi za adekvatnim zbrinjavanjem socijalnih pacijenata iznijeli su i CPT i Zaštitnik ljudskih prava i sloboda Crne Gore. I pored toga što su odobrena sredstva za zapošljavanje pet medicinskih tehničara, to je i dalje nedovoljno. Takođe, i postojeće osoblje nije dovoljno stimulisano za rad sa psihijatrijskim pacijentima (npr. nije im obezbijeđen beneficirani radni staž). Nedostatak osoblja dovodi i do neispunjavanja preporuke CPT-a za povećanje ponude terapeutskih i rehabilitacionih aktivnosti pacijentima.</w:t>
                            </w:r>
                          </w:p>
                          <w:p w:rsidR="00F67406" w:rsidRPr="009B6FB5" w:rsidRDefault="00F67406" w:rsidP="00B52F15">
                            <w:pPr>
                              <w:spacing w:before="0" w:after="0" w:line="240" w:lineRule="auto"/>
                              <w:jc w:val="right"/>
                              <w:rPr>
                                <w:i/>
                                <w:sz w:val="22"/>
                                <w:szCs w:val="22"/>
                              </w:rPr>
                            </w:pPr>
                            <w:r w:rsidRPr="009B6FB5">
                              <w:rPr>
                                <w:i/>
                                <w:sz w:val="22"/>
                                <w:szCs w:val="22"/>
                              </w:rPr>
                              <w:t>*Izveštaj monitoring tima nevladinih organizacija Akcija za ljudska prava, Centar za anti-diskriminaciju „EKVISTA“, Centar za građansko obrazovanje i Sigurna ženska kuća</w:t>
                            </w:r>
                          </w:p>
                          <w:p w:rsidR="00F67406" w:rsidRDefault="00F67406" w:rsidP="00B52F15">
                            <w:pPr>
                              <w:jc w:val="right"/>
                            </w:pPr>
                          </w:p>
                          <w:p w:rsidR="00F67406" w:rsidRPr="008420D4" w:rsidRDefault="00F67406" w:rsidP="00B52F15">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34" style="position:absolute;left:0;text-align:left;margin-left:-.65pt;margin-top:165.9pt;width:462.95pt;height:309.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" fillcolor="window" strokecolor="#4f81bd" strokeweight="2pt">
                <v:textbox>
                  <w:txbxContent>
                    <w:p w:rsidR="00F67406" w:rsidRPr="009B6FB5" w:rsidRDefault="00F67406" w:rsidP="00B52F15">
                      <w:pPr>
                        <w:rPr>
                          <w:sz w:val="22"/>
                          <w:szCs w:val="22"/>
                        </w:rPr>
                      </w:pPr>
                      <w:r w:rsidRPr="009B6FB5">
                        <w:rPr>
                          <w:sz w:val="22"/>
                          <w:szCs w:val="22"/>
                        </w:rPr>
                        <w:t>Izvještaj iz monitoringa 2013:*</w:t>
                      </w:r>
                    </w:p>
                    <w:p w:rsidR="00F67406" w:rsidRPr="009B6FB5" w:rsidRDefault="00F67406" w:rsidP="00B52F15">
                      <w:pPr>
                        <w:jc w:val="both"/>
                        <w:rPr>
                          <w:sz w:val="22"/>
                          <w:szCs w:val="22"/>
                        </w:rPr>
                      </w:pPr>
                      <w:r w:rsidRPr="009B6FB5">
                        <w:rPr>
                          <w:sz w:val="22"/>
                          <w:szCs w:val="22"/>
                        </w:rPr>
                        <w:t xml:space="preserve">Nažalost, pored primjetnog napretka, konstatujemo da neke od najvažnijih preporuka nijesu ispunjene, od kojih izdvajamo preporuku Ministarstvu rada i socijalnog staranja za rješavanje problema višegodišnjeg (čak višedecenijskog) boravka u Bolnici tzv. socijalnih pacijenata, osoba čije zdravstveno stanje ne zahtijeva dalje bolničko liječenje, ali koje u Bolnici nastavljaju da borave zbog nemogućnosti da na drugi, adekvatniji način budu socijalno zbrinute, kao i problem nedostaka bolničkog osoblja, u nadležnosti Ministarstva zdravlja. Preporuke o potrebi za adekvatnim zbrinjavanjem socijalnih pacijenata iznijeli su i CPT i Zaštitnik ljudskih prava i sloboda Crne Gore. I pored toga što su odobrena sredstva za zapošljavanje pet medicinskih tehničara, to je i dalje nedovoljno. Takođe, i postojeće osoblje nije dovoljno stimulisano za rad sa psihijatrijskim pacijentima (npr. </w:t>
                      </w:r>
                      <w:r w:rsidRPr="009B6FB5">
                        <w:rPr>
                          <w:sz w:val="22"/>
                          <w:szCs w:val="22"/>
                        </w:rPr>
                        <w:t>nije im obezbijeđen beneficirani radni staž). Nedostatak osoblja dovodi i do neispunjavanja preporuke CPT-a za povećanje ponude terapeutskih i rehabilitacionih aktivnosti pacijentima.</w:t>
                      </w:r>
                    </w:p>
                    <w:p w:rsidR="00F67406" w:rsidRPr="009B6FB5" w:rsidRDefault="00F67406" w:rsidP="00B52F15">
                      <w:pPr>
                        <w:spacing w:before="0" w:after="0" w:line="240" w:lineRule="auto"/>
                        <w:jc w:val="right"/>
                        <w:rPr>
                          <w:i/>
                          <w:sz w:val="22"/>
                          <w:szCs w:val="22"/>
                        </w:rPr>
                      </w:pPr>
                      <w:r w:rsidRPr="009B6FB5">
                        <w:rPr>
                          <w:i/>
                          <w:sz w:val="22"/>
                          <w:szCs w:val="22"/>
                        </w:rPr>
                        <w:t>*Izveštaj monitoring tima nevladinih organizacija Akcija za ljudska prava, Centar za anti-diskriminaciju „EKVISTA“, Centar za građansko obrazovanje i Sigurna ženska kuća</w:t>
                      </w:r>
                    </w:p>
                    <w:p w:rsidR="00F67406" w:rsidRDefault="00F67406" w:rsidP="00B52F15">
                      <w:pPr>
                        <w:jc w:val="right"/>
                      </w:pPr>
                    </w:p>
                    <w:p w:rsidR="00F67406" w:rsidRPr="008420D4" w:rsidRDefault="00F67406" w:rsidP="00B52F15">
                      <w:pPr>
                        <w:jc w:val="center"/>
                        <w:rPr>
                          <w:b/>
                        </w:rPr>
                      </w:pPr>
                    </w:p>
                  </w:txbxContent>
                </v:textbox>
                <w10:wrap type="topAndBottom"/>
              </v:roundrect>
            </w:pict>
          </mc:Fallback>
        </mc:AlternateContent>
      </w:r>
      <w:r w:rsidR="009B5DD5" w:rsidRPr="00C00F2A">
        <w:rPr>
          <w:sz w:val="22"/>
          <w:szCs w:val="22"/>
        </w:rPr>
        <w:t xml:space="preserve">Ova strategija </w:t>
      </w:r>
      <w:r w:rsidR="00114C54" w:rsidRPr="00C00F2A">
        <w:rPr>
          <w:sz w:val="22"/>
          <w:szCs w:val="22"/>
        </w:rPr>
        <w:t xml:space="preserve">bila je </w:t>
      </w:r>
      <w:r w:rsidR="009B5DD5" w:rsidRPr="00C00F2A">
        <w:rPr>
          <w:sz w:val="22"/>
          <w:szCs w:val="22"/>
        </w:rPr>
        <w:t>redovno praćena izradom akcionih planova.</w:t>
      </w:r>
      <w:r w:rsidR="00085F3D" w:rsidRPr="00C00F2A">
        <w:rPr>
          <w:sz w:val="22"/>
          <w:szCs w:val="22"/>
        </w:rPr>
        <w:t xml:space="preserve"> Akcioni plan za unapređenje mentalnog zdravlja u Crnoj Gori 2017-2018. sadrži veoma važne ciljeve i aktivnosti kojima se potvrđuje </w:t>
      </w:r>
      <w:r w:rsidR="00085F3D" w:rsidRPr="00A31FAC">
        <w:rPr>
          <w:b/>
          <w:sz w:val="22"/>
          <w:szCs w:val="22"/>
        </w:rPr>
        <w:t>pozitivan pravac reorganizacije sistema mentalnog zdravlja u pravcu razvoja službi za mentalno zdravlje u zajednici</w:t>
      </w:r>
      <w:r w:rsidR="00085F3D" w:rsidRPr="00C00F2A">
        <w:rPr>
          <w:sz w:val="22"/>
          <w:szCs w:val="22"/>
        </w:rPr>
        <w:t>. Od posebnog značaja su aktivnosti širenje servisa i jačanja kapaciteta profesionalaca u primarnoj zdravstvenoj zaštiti, centrima za mentalno zdravlje u zajednici i rad na destigmatizaciji osoba sa mentalnim teškoćama. M</w:t>
      </w:r>
      <w:r w:rsidR="00783449" w:rsidRPr="00C00F2A">
        <w:rPr>
          <w:sz w:val="22"/>
          <w:szCs w:val="22"/>
        </w:rPr>
        <w:t>j</w:t>
      </w:r>
      <w:r w:rsidR="00085F3D" w:rsidRPr="00C00F2A">
        <w:rPr>
          <w:sz w:val="22"/>
          <w:szCs w:val="22"/>
        </w:rPr>
        <w:t>era koja je predviđala pod</w:t>
      </w:r>
      <w:r w:rsidR="00783449" w:rsidRPr="00C00F2A">
        <w:rPr>
          <w:sz w:val="22"/>
          <w:szCs w:val="22"/>
        </w:rPr>
        <w:t>j</w:t>
      </w:r>
      <w:r w:rsidR="00085F3D" w:rsidRPr="00C00F2A">
        <w:rPr>
          <w:sz w:val="22"/>
          <w:szCs w:val="22"/>
        </w:rPr>
        <w:t xml:space="preserve">elu troškova između resora zdravstva i resora socijalne zaštite potvrđena je i ovim Akcionim planom (cilj 4 aktivnost 5), čime bi Ministarstvo rada </w:t>
      </w:r>
      <w:r w:rsidR="00783449" w:rsidRPr="00C00F2A">
        <w:rPr>
          <w:sz w:val="22"/>
          <w:szCs w:val="22"/>
        </w:rPr>
        <w:t>i socijalog staranja preuzelo di</w:t>
      </w:r>
      <w:r w:rsidR="00085F3D" w:rsidRPr="00C00F2A">
        <w:rPr>
          <w:sz w:val="22"/>
          <w:szCs w:val="22"/>
        </w:rPr>
        <w:t xml:space="preserve">o finansiranja. </w:t>
      </w:r>
      <w:r w:rsidR="0009026E">
        <w:rPr>
          <w:sz w:val="22"/>
          <w:szCs w:val="22"/>
        </w:rPr>
        <w:t>O</w:t>
      </w:r>
      <w:r w:rsidR="00085F3D" w:rsidRPr="00C00F2A">
        <w:rPr>
          <w:sz w:val="22"/>
          <w:szCs w:val="22"/>
        </w:rPr>
        <w:t>bjektivne teškoće u sprovođenju ove m</w:t>
      </w:r>
      <w:r w:rsidR="00783449" w:rsidRPr="00C00F2A">
        <w:rPr>
          <w:sz w:val="22"/>
          <w:szCs w:val="22"/>
        </w:rPr>
        <w:t>j</w:t>
      </w:r>
      <w:r w:rsidR="00085F3D" w:rsidRPr="00C00F2A">
        <w:rPr>
          <w:sz w:val="22"/>
          <w:szCs w:val="22"/>
        </w:rPr>
        <w:t>ere, između ostalog, ukazuj</w:t>
      </w:r>
      <w:r w:rsidR="0009026E">
        <w:rPr>
          <w:sz w:val="22"/>
          <w:szCs w:val="22"/>
        </w:rPr>
        <w:t>u</w:t>
      </w:r>
      <w:r w:rsidR="00085F3D" w:rsidRPr="00C00F2A">
        <w:rPr>
          <w:sz w:val="22"/>
          <w:szCs w:val="22"/>
        </w:rPr>
        <w:t xml:space="preserve"> </w:t>
      </w:r>
      <w:r w:rsidR="0009026E">
        <w:rPr>
          <w:sz w:val="22"/>
          <w:szCs w:val="22"/>
        </w:rPr>
        <w:t>da</w:t>
      </w:r>
      <w:r w:rsidR="00085F3D" w:rsidRPr="00C00F2A">
        <w:rPr>
          <w:sz w:val="22"/>
          <w:szCs w:val="22"/>
        </w:rPr>
        <w:t xml:space="preserve"> bi bilo neophodno usv</w:t>
      </w:r>
      <w:r w:rsidR="0009026E">
        <w:rPr>
          <w:sz w:val="22"/>
          <w:szCs w:val="22"/>
        </w:rPr>
        <w:t>o</w:t>
      </w:r>
      <w:r w:rsidR="00085F3D" w:rsidRPr="00C00F2A">
        <w:rPr>
          <w:sz w:val="22"/>
          <w:szCs w:val="22"/>
        </w:rPr>
        <w:t>j</w:t>
      </w:r>
      <w:r w:rsidR="0009026E">
        <w:rPr>
          <w:sz w:val="22"/>
          <w:szCs w:val="22"/>
        </w:rPr>
        <w:t>iti</w:t>
      </w:r>
      <w:r w:rsidR="00085F3D" w:rsidRPr="00C00F2A">
        <w:rPr>
          <w:sz w:val="22"/>
          <w:szCs w:val="22"/>
        </w:rPr>
        <w:t xml:space="preserve"> obavezujuć</w:t>
      </w:r>
      <w:r w:rsidR="0009026E">
        <w:rPr>
          <w:sz w:val="22"/>
          <w:szCs w:val="22"/>
        </w:rPr>
        <w:t>i</w:t>
      </w:r>
      <w:r w:rsidR="00085F3D" w:rsidRPr="00C00F2A">
        <w:rPr>
          <w:sz w:val="22"/>
          <w:szCs w:val="22"/>
        </w:rPr>
        <w:t xml:space="preserve"> dokument na najvišem nivou izvršne vlasti.</w:t>
      </w:r>
    </w:p>
    <w:p w:rsidR="00E00D1D" w:rsidRDefault="00E00D1D" w:rsidP="009233BE">
      <w:pPr>
        <w:jc w:val="both"/>
        <w:rPr>
          <w:sz w:val="22"/>
          <w:szCs w:val="22"/>
        </w:rPr>
      </w:pPr>
    </w:p>
    <w:p w:rsidR="00125392" w:rsidRPr="00C00F2A" w:rsidRDefault="00C92F0D" w:rsidP="009233BE">
      <w:pPr>
        <w:jc w:val="both"/>
        <w:rPr>
          <w:sz w:val="22"/>
          <w:szCs w:val="22"/>
        </w:rPr>
      </w:pPr>
      <w:r w:rsidRPr="00C00F2A">
        <w:rPr>
          <w:sz w:val="22"/>
          <w:szCs w:val="22"/>
        </w:rPr>
        <w:t xml:space="preserve">Tačan broj osoba sa mentalnim oboljenjima </w:t>
      </w:r>
      <w:r w:rsidR="003E2284" w:rsidRPr="00C00F2A">
        <w:rPr>
          <w:sz w:val="22"/>
          <w:szCs w:val="22"/>
        </w:rPr>
        <w:t>u Crnoj Gori nije poznat, niti tačan broj osoba na institucionalnom sm</w:t>
      </w:r>
      <w:r w:rsidR="00843EA5" w:rsidRPr="00C00F2A">
        <w:rPr>
          <w:sz w:val="22"/>
          <w:szCs w:val="22"/>
        </w:rPr>
        <w:t>j</w:t>
      </w:r>
      <w:r w:rsidR="003E2284" w:rsidRPr="00C00F2A">
        <w:rPr>
          <w:sz w:val="22"/>
          <w:szCs w:val="22"/>
        </w:rPr>
        <w:t>eštaju</w:t>
      </w:r>
      <w:r w:rsidRPr="00C00F2A">
        <w:rPr>
          <w:sz w:val="22"/>
          <w:szCs w:val="22"/>
        </w:rPr>
        <w:t xml:space="preserve">, s obzirom da se ove osobe nalaze kako u </w:t>
      </w:r>
      <w:r w:rsidR="009B3440" w:rsidRPr="00C00F2A">
        <w:rPr>
          <w:sz w:val="22"/>
          <w:szCs w:val="22"/>
        </w:rPr>
        <w:t xml:space="preserve">Specijalnoj </w:t>
      </w:r>
      <w:r w:rsidRPr="00C00F2A">
        <w:rPr>
          <w:sz w:val="22"/>
          <w:szCs w:val="22"/>
        </w:rPr>
        <w:t>psihijatrijskoj bolnici u Kotoru (240+) i bolničkim od</w:t>
      </w:r>
      <w:r w:rsidR="00843EA5" w:rsidRPr="00C00F2A">
        <w:rPr>
          <w:sz w:val="22"/>
          <w:szCs w:val="22"/>
        </w:rPr>
        <w:t>j</w:t>
      </w:r>
      <w:r w:rsidRPr="00C00F2A">
        <w:rPr>
          <w:sz w:val="22"/>
          <w:szCs w:val="22"/>
        </w:rPr>
        <w:t>eljenjima u Nikšiću (20) i Podgorici (30) tako i u ustanovama socijalnog staranja – prevashodno u Javnoj ustanovi Zavod „Komanski most“ za sm</w:t>
      </w:r>
      <w:r w:rsidR="00843EA5" w:rsidRPr="00C00F2A">
        <w:rPr>
          <w:sz w:val="22"/>
          <w:szCs w:val="22"/>
        </w:rPr>
        <w:t>j</w:t>
      </w:r>
      <w:r w:rsidRPr="00C00F2A">
        <w:rPr>
          <w:sz w:val="22"/>
          <w:szCs w:val="22"/>
        </w:rPr>
        <w:t>eštaj lica sa posebnim potrebama (ukupan broj 115)</w:t>
      </w:r>
      <w:r w:rsidR="0009026E">
        <w:rPr>
          <w:sz w:val="22"/>
          <w:szCs w:val="22"/>
        </w:rPr>
        <w:t>,</w:t>
      </w:r>
      <w:r w:rsidRPr="00C00F2A">
        <w:rPr>
          <w:rStyle w:val="FootnoteReference"/>
          <w:sz w:val="22"/>
          <w:szCs w:val="22"/>
        </w:rPr>
        <w:footnoteReference w:id="37"/>
      </w:r>
      <w:r w:rsidRPr="00C00F2A">
        <w:rPr>
          <w:sz w:val="22"/>
          <w:szCs w:val="22"/>
        </w:rPr>
        <w:t xml:space="preserve"> kao i u domovima za stara lica u Bijelom Polju (ukupno 120) i Risnu (ukupno 317).</w:t>
      </w:r>
    </w:p>
    <w:p w:rsidR="00125392" w:rsidRPr="00C00F2A" w:rsidRDefault="00397623" w:rsidP="009233BE">
      <w:pPr>
        <w:jc w:val="both"/>
        <w:rPr>
          <w:sz w:val="22"/>
          <w:szCs w:val="22"/>
        </w:rPr>
      </w:pPr>
      <w:r w:rsidRPr="00C00F2A">
        <w:rPr>
          <w:sz w:val="22"/>
          <w:szCs w:val="22"/>
        </w:rPr>
        <w:t>N</w:t>
      </w:r>
      <w:r w:rsidR="002C3DE0" w:rsidRPr="00C00F2A">
        <w:rPr>
          <w:sz w:val="22"/>
          <w:szCs w:val="22"/>
        </w:rPr>
        <w:t>a internet prezentacijama nadležnih institucija (Ministarstvo rada i socijalnog staranja, Zavod za socijalnu i dječju zaštitu i slično) n</w:t>
      </w:r>
      <w:r w:rsidRPr="00C00F2A">
        <w:rPr>
          <w:sz w:val="22"/>
          <w:szCs w:val="22"/>
        </w:rPr>
        <w:t xml:space="preserve">ema podataka o broju osoba lišenih poslovne sposobnosti. Pored toga, u tekstu koji je </w:t>
      </w:r>
      <w:r w:rsidR="00163900" w:rsidRPr="00C00F2A">
        <w:rPr>
          <w:sz w:val="22"/>
          <w:szCs w:val="22"/>
        </w:rPr>
        <w:t>objavljen na portalu</w:t>
      </w:r>
      <w:r w:rsidR="002926AD">
        <w:rPr>
          <w:sz w:val="22"/>
          <w:szCs w:val="22"/>
        </w:rPr>
        <w:t xml:space="preserve"> lista</w:t>
      </w:r>
      <w:r w:rsidR="00163900" w:rsidRPr="00C00F2A">
        <w:rPr>
          <w:sz w:val="22"/>
          <w:szCs w:val="22"/>
        </w:rPr>
        <w:t xml:space="preserve"> </w:t>
      </w:r>
      <w:r w:rsidR="00163900" w:rsidRPr="00325103">
        <w:rPr>
          <w:i/>
          <w:sz w:val="22"/>
          <w:szCs w:val="22"/>
        </w:rPr>
        <w:t>Dan</w:t>
      </w:r>
      <w:r w:rsidR="00163900" w:rsidRPr="00C00F2A">
        <w:rPr>
          <w:sz w:val="22"/>
          <w:szCs w:val="22"/>
        </w:rPr>
        <w:t>,</w:t>
      </w:r>
      <w:r w:rsidRPr="00C00F2A">
        <w:rPr>
          <w:sz w:val="22"/>
          <w:szCs w:val="22"/>
        </w:rPr>
        <w:t xml:space="preserve"> navedeno je da je od Sekretarijata Sudskog savjeta, između ostalog, zatražena informacija o broju osoba lišenih poslovne sposobnosti u Crnoj Gori, ali da taj podatak nije dobijen jer ne postoji evidencija osoba lišenih poslovne sposobnosti. Slično je navedeno i u izv</w:t>
      </w:r>
      <w:r w:rsidR="00163900" w:rsidRPr="00C00F2A">
        <w:rPr>
          <w:sz w:val="22"/>
          <w:szCs w:val="22"/>
        </w:rPr>
        <w:t>j</w:t>
      </w:r>
      <w:r w:rsidRPr="00C00F2A">
        <w:rPr>
          <w:sz w:val="22"/>
          <w:szCs w:val="22"/>
        </w:rPr>
        <w:t>eštaju Udruženja mladih sa hendikepom Crne Gore, da ne postoje dostupni podaci o broju osoba sa invaliditetom kojima je oduzeta poslovna sposobn</w:t>
      </w:r>
      <w:r w:rsidR="00163900" w:rsidRPr="00C00F2A">
        <w:rPr>
          <w:sz w:val="22"/>
          <w:szCs w:val="22"/>
        </w:rPr>
        <w:t>ost, kao ni o njihovoj imovini.</w:t>
      </w:r>
      <w:r w:rsidR="00E84C9F" w:rsidRPr="00C00F2A">
        <w:rPr>
          <w:sz w:val="22"/>
          <w:szCs w:val="22"/>
        </w:rPr>
        <w:t xml:space="preserve"> Takođe, u</w:t>
      </w:r>
      <w:r w:rsidRPr="00C00F2A">
        <w:rPr>
          <w:sz w:val="22"/>
          <w:szCs w:val="22"/>
        </w:rPr>
        <w:t xml:space="preserve"> godišnjem izv</w:t>
      </w:r>
      <w:r w:rsidR="00163900" w:rsidRPr="00C00F2A">
        <w:rPr>
          <w:sz w:val="22"/>
          <w:szCs w:val="22"/>
        </w:rPr>
        <w:t>j</w:t>
      </w:r>
      <w:r w:rsidRPr="00C00F2A">
        <w:rPr>
          <w:sz w:val="22"/>
          <w:szCs w:val="22"/>
        </w:rPr>
        <w:t>eštaju Ministarstva rada i socij</w:t>
      </w:r>
      <w:r w:rsidR="00163900" w:rsidRPr="00C00F2A">
        <w:rPr>
          <w:sz w:val="22"/>
          <w:szCs w:val="22"/>
        </w:rPr>
        <w:t xml:space="preserve">alnog staranja za 2015. godinu </w:t>
      </w:r>
      <w:r w:rsidRPr="00C00F2A">
        <w:rPr>
          <w:sz w:val="22"/>
          <w:szCs w:val="22"/>
        </w:rPr>
        <w:t>nema podataka o broju osoba koje su lišene poslovne sposobnosti, odnosno, nad kojima je produženo roditeljsko pravo i koje su stavljene pod starateljstvo</w:t>
      </w:r>
      <w:r w:rsidR="00FD2570" w:rsidRPr="00C00F2A">
        <w:rPr>
          <w:sz w:val="22"/>
          <w:szCs w:val="22"/>
        </w:rPr>
        <w:t xml:space="preserve">. </w:t>
      </w:r>
    </w:p>
    <w:p w:rsidR="00125392" w:rsidRPr="00C00F2A" w:rsidRDefault="00F4241E" w:rsidP="00325103">
      <w:pPr>
        <w:jc w:val="both"/>
        <w:rPr>
          <w:sz w:val="22"/>
          <w:szCs w:val="22"/>
        </w:rPr>
      </w:pPr>
      <w:r w:rsidRPr="00C00F2A">
        <w:rPr>
          <w:sz w:val="22"/>
          <w:szCs w:val="22"/>
        </w:rPr>
        <w:t xml:space="preserve">Osim što se osobe sa mentalnim </w:t>
      </w:r>
      <w:r w:rsidR="00EC2ADB" w:rsidRPr="00C00F2A">
        <w:rPr>
          <w:sz w:val="22"/>
          <w:szCs w:val="22"/>
        </w:rPr>
        <w:t xml:space="preserve">smetnjama </w:t>
      </w:r>
      <w:r w:rsidRPr="00C00F2A">
        <w:rPr>
          <w:sz w:val="22"/>
          <w:szCs w:val="22"/>
        </w:rPr>
        <w:t xml:space="preserve">nalaze u ustanovama socijalnog staranja, koje nisu u stanju da im pruže adekvatan tretman, veliki broj osoba u Specijalnoj bolnici za psihijatriju </w:t>
      </w:r>
      <w:r w:rsidR="002926AD">
        <w:rPr>
          <w:sz w:val="22"/>
          <w:szCs w:val="22"/>
        </w:rPr>
        <w:t>K</w:t>
      </w:r>
      <w:r w:rsidRPr="00C00F2A">
        <w:rPr>
          <w:sz w:val="22"/>
          <w:szCs w:val="22"/>
        </w:rPr>
        <w:t xml:space="preserve">otor se tamo nalazi bez potrebe za daljom hospitalizacijom. </w:t>
      </w:r>
      <w:r w:rsidRPr="002926AD">
        <w:rPr>
          <w:b/>
          <w:sz w:val="22"/>
          <w:szCs w:val="22"/>
        </w:rPr>
        <w:t>Tačna proc</w:t>
      </w:r>
      <w:r w:rsidR="00163900" w:rsidRPr="002926AD">
        <w:rPr>
          <w:b/>
          <w:sz w:val="22"/>
          <w:szCs w:val="22"/>
        </w:rPr>
        <w:t>j</w:t>
      </w:r>
      <w:r w:rsidRPr="002926AD">
        <w:rPr>
          <w:b/>
          <w:sz w:val="22"/>
          <w:szCs w:val="22"/>
        </w:rPr>
        <w:t>ena je da pacijenti sa hroničnog muškog od</w:t>
      </w:r>
      <w:r w:rsidR="00163900" w:rsidRPr="002926AD">
        <w:rPr>
          <w:b/>
          <w:sz w:val="22"/>
          <w:szCs w:val="22"/>
        </w:rPr>
        <w:t>j</w:t>
      </w:r>
      <w:r w:rsidRPr="002926AD">
        <w:rPr>
          <w:b/>
          <w:sz w:val="22"/>
          <w:szCs w:val="22"/>
        </w:rPr>
        <w:t>eljenja (46), hroničnog ženskog od</w:t>
      </w:r>
      <w:r w:rsidR="00163900" w:rsidRPr="002926AD">
        <w:rPr>
          <w:b/>
          <w:sz w:val="22"/>
          <w:szCs w:val="22"/>
        </w:rPr>
        <w:t>jeljenja (45) i odeljenja</w:t>
      </w:r>
      <w:r w:rsidRPr="002926AD">
        <w:rPr>
          <w:b/>
          <w:sz w:val="22"/>
          <w:szCs w:val="22"/>
        </w:rPr>
        <w:t xml:space="preserve"> za produženu terapiju (52) </w:t>
      </w:r>
      <w:r w:rsidR="00D036EB" w:rsidRPr="002926AD">
        <w:rPr>
          <w:b/>
          <w:sz w:val="22"/>
          <w:szCs w:val="22"/>
        </w:rPr>
        <w:t xml:space="preserve"> - ukupno više od 140 osoba – „</w:t>
      </w:r>
      <w:r w:rsidRPr="002926AD">
        <w:rPr>
          <w:b/>
          <w:sz w:val="22"/>
          <w:szCs w:val="22"/>
        </w:rPr>
        <w:t>predstavljaju</w:t>
      </w:r>
      <w:r w:rsidR="00D036EB" w:rsidRPr="002926AD">
        <w:rPr>
          <w:b/>
          <w:sz w:val="22"/>
          <w:szCs w:val="22"/>
        </w:rPr>
        <w:t xml:space="preserve"> </w:t>
      </w:r>
      <w:r w:rsidRPr="002926AD">
        <w:rPr>
          <w:b/>
          <w:sz w:val="22"/>
          <w:szCs w:val="22"/>
        </w:rPr>
        <w:t>glavnu kategoriju pacijenata koje treba uključiti u proces deinstitucionalizacije sa reintegracijom u socijalnu zajednicu“</w:t>
      </w:r>
      <w:r w:rsidRPr="00C00F2A">
        <w:rPr>
          <w:rStyle w:val="FootnoteReference"/>
          <w:sz w:val="22"/>
          <w:szCs w:val="22"/>
        </w:rPr>
        <w:footnoteReference w:id="38"/>
      </w:r>
      <w:r w:rsidRPr="00C00F2A">
        <w:rPr>
          <w:sz w:val="22"/>
          <w:szCs w:val="22"/>
        </w:rPr>
        <w:t>.</w:t>
      </w:r>
    </w:p>
    <w:p w:rsidR="001B4317" w:rsidRPr="00C00F2A" w:rsidRDefault="00D036EB" w:rsidP="009233BE">
      <w:pPr>
        <w:jc w:val="both"/>
        <w:rPr>
          <w:sz w:val="22"/>
          <w:szCs w:val="22"/>
        </w:rPr>
      </w:pPr>
      <w:r w:rsidRPr="00C00F2A">
        <w:rPr>
          <w:sz w:val="22"/>
          <w:szCs w:val="22"/>
        </w:rPr>
        <w:t>Osim toga, veliki problem predstavlja i Sudsko</w:t>
      </w:r>
      <w:r w:rsidR="001B4317" w:rsidRPr="00C00F2A">
        <w:rPr>
          <w:sz w:val="22"/>
          <w:szCs w:val="22"/>
        </w:rPr>
        <w:t xml:space="preserve"> od</w:t>
      </w:r>
      <w:r w:rsidR="00DB4B6C" w:rsidRPr="00C00F2A">
        <w:rPr>
          <w:sz w:val="22"/>
          <w:szCs w:val="22"/>
        </w:rPr>
        <w:t>j</w:t>
      </w:r>
      <w:r w:rsidR="001B4317" w:rsidRPr="00C00F2A">
        <w:rPr>
          <w:sz w:val="22"/>
          <w:szCs w:val="22"/>
        </w:rPr>
        <w:t>eljenje sm</w:t>
      </w:r>
      <w:r w:rsidR="00DB4B6C" w:rsidRPr="00C00F2A">
        <w:rPr>
          <w:sz w:val="22"/>
          <w:szCs w:val="22"/>
        </w:rPr>
        <w:t>j</w:t>
      </w:r>
      <w:r w:rsidR="001B4317" w:rsidRPr="00C00F2A">
        <w:rPr>
          <w:sz w:val="22"/>
          <w:szCs w:val="22"/>
        </w:rPr>
        <w:t>ešteno u bolnici koj</w:t>
      </w:r>
      <w:r w:rsidRPr="00C00F2A">
        <w:rPr>
          <w:sz w:val="22"/>
          <w:szCs w:val="22"/>
        </w:rPr>
        <w:t>a nije predviđena za tu nam</w:t>
      </w:r>
      <w:r w:rsidR="00DB4B6C" w:rsidRPr="00C00F2A">
        <w:rPr>
          <w:sz w:val="22"/>
          <w:szCs w:val="22"/>
        </w:rPr>
        <w:t>j</w:t>
      </w:r>
      <w:r w:rsidRPr="00C00F2A">
        <w:rPr>
          <w:sz w:val="22"/>
          <w:szCs w:val="22"/>
        </w:rPr>
        <w:t>enu</w:t>
      </w:r>
      <w:r w:rsidR="00DB4B6C" w:rsidRPr="00C00F2A">
        <w:rPr>
          <w:sz w:val="22"/>
          <w:szCs w:val="22"/>
        </w:rPr>
        <w:t>,</w:t>
      </w:r>
      <w:r w:rsidRPr="00C00F2A">
        <w:rPr>
          <w:sz w:val="22"/>
          <w:szCs w:val="22"/>
        </w:rPr>
        <w:t xml:space="preserve"> tj. nije u mogućnosti da pruži odgovarajući nivo bezb</w:t>
      </w:r>
      <w:r w:rsidR="00DB4B6C" w:rsidRPr="00C00F2A">
        <w:rPr>
          <w:sz w:val="22"/>
          <w:szCs w:val="22"/>
        </w:rPr>
        <w:t>j</w:t>
      </w:r>
      <w:r w:rsidRPr="00C00F2A">
        <w:rPr>
          <w:sz w:val="22"/>
          <w:szCs w:val="22"/>
        </w:rPr>
        <w:t>ednosti</w:t>
      </w:r>
      <w:r w:rsidR="00DB4B6C" w:rsidRPr="00C00F2A">
        <w:rPr>
          <w:sz w:val="22"/>
          <w:szCs w:val="22"/>
        </w:rPr>
        <w:t>,</w:t>
      </w:r>
      <w:r w:rsidRPr="00C00F2A">
        <w:rPr>
          <w:sz w:val="22"/>
          <w:szCs w:val="22"/>
        </w:rPr>
        <w:t xml:space="preserve"> čime se,</w:t>
      </w:r>
      <w:r w:rsidR="001B4317" w:rsidRPr="00C00F2A">
        <w:rPr>
          <w:sz w:val="22"/>
          <w:szCs w:val="22"/>
        </w:rPr>
        <w:t xml:space="preserve"> s jedne strane</w:t>
      </w:r>
      <w:r w:rsidRPr="00C00F2A">
        <w:rPr>
          <w:sz w:val="22"/>
          <w:szCs w:val="22"/>
        </w:rPr>
        <w:t xml:space="preserve">, </w:t>
      </w:r>
      <w:r w:rsidR="001B4317" w:rsidRPr="00C00F2A">
        <w:rPr>
          <w:sz w:val="22"/>
          <w:szCs w:val="22"/>
        </w:rPr>
        <w:t>ugr</w:t>
      </w:r>
      <w:r w:rsidRPr="00C00F2A">
        <w:rPr>
          <w:sz w:val="22"/>
          <w:szCs w:val="22"/>
        </w:rPr>
        <w:t>o</w:t>
      </w:r>
      <w:r w:rsidR="001B4317" w:rsidRPr="00C00F2A">
        <w:rPr>
          <w:sz w:val="22"/>
          <w:szCs w:val="22"/>
        </w:rPr>
        <w:t>žava bezb</w:t>
      </w:r>
      <w:r w:rsidR="00DB4B6C" w:rsidRPr="00C00F2A">
        <w:rPr>
          <w:sz w:val="22"/>
          <w:szCs w:val="22"/>
        </w:rPr>
        <w:t>j</w:t>
      </w:r>
      <w:r w:rsidR="001B4317" w:rsidRPr="00C00F2A">
        <w:rPr>
          <w:sz w:val="22"/>
          <w:szCs w:val="22"/>
        </w:rPr>
        <w:t xml:space="preserve">ednost i sloboda kretanja drugih pacijenata, </w:t>
      </w:r>
      <w:r w:rsidRPr="00C00F2A">
        <w:rPr>
          <w:sz w:val="22"/>
          <w:szCs w:val="22"/>
        </w:rPr>
        <w:t>dok</w:t>
      </w:r>
      <w:r w:rsidR="001B4317" w:rsidRPr="00C00F2A">
        <w:rPr>
          <w:sz w:val="22"/>
          <w:szCs w:val="22"/>
        </w:rPr>
        <w:t xml:space="preserve"> bolnica ne može da zadovolji bezb</w:t>
      </w:r>
      <w:r w:rsidR="00DB4B6C" w:rsidRPr="00C00F2A">
        <w:rPr>
          <w:sz w:val="22"/>
          <w:szCs w:val="22"/>
        </w:rPr>
        <w:t>j</w:t>
      </w:r>
      <w:r w:rsidR="001B4317" w:rsidRPr="00C00F2A">
        <w:rPr>
          <w:sz w:val="22"/>
          <w:szCs w:val="22"/>
        </w:rPr>
        <w:t xml:space="preserve">ednosne standarde za zbrinjavanje forenzičkih pacijenata. </w:t>
      </w:r>
      <w:r w:rsidR="00114C54" w:rsidRPr="00C00F2A">
        <w:rPr>
          <w:sz w:val="22"/>
          <w:szCs w:val="22"/>
        </w:rPr>
        <w:t>Kapacitet Sudskog od</w:t>
      </w:r>
      <w:r w:rsidR="00DB4B6C" w:rsidRPr="00C00F2A">
        <w:rPr>
          <w:sz w:val="22"/>
          <w:szCs w:val="22"/>
        </w:rPr>
        <w:t>j</w:t>
      </w:r>
      <w:r w:rsidRPr="00C00F2A">
        <w:rPr>
          <w:sz w:val="22"/>
          <w:szCs w:val="22"/>
        </w:rPr>
        <w:t>e</w:t>
      </w:r>
      <w:r w:rsidR="00114C54" w:rsidRPr="00C00F2A">
        <w:rPr>
          <w:sz w:val="22"/>
          <w:szCs w:val="22"/>
        </w:rPr>
        <w:t>l</w:t>
      </w:r>
      <w:r w:rsidRPr="00C00F2A">
        <w:rPr>
          <w:sz w:val="22"/>
          <w:szCs w:val="22"/>
        </w:rPr>
        <w:t xml:space="preserve">jenja od 20 kreveta nikako nije odgovarajući u odnosu na realne </w:t>
      </w:r>
      <w:r w:rsidR="00DB4B6C" w:rsidRPr="00C00F2A">
        <w:rPr>
          <w:sz w:val="22"/>
          <w:szCs w:val="22"/>
        </w:rPr>
        <w:t>potrebe, tako da se još dodatnih</w:t>
      </w:r>
      <w:r w:rsidRPr="00C00F2A">
        <w:rPr>
          <w:sz w:val="22"/>
          <w:szCs w:val="22"/>
        </w:rPr>
        <w:t xml:space="preserve"> 50 pacijenta sa izr</w:t>
      </w:r>
      <w:r w:rsidR="003E2284" w:rsidRPr="00C00F2A">
        <w:rPr>
          <w:sz w:val="22"/>
          <w:szCs w:val="22"/>
        </w:rPr>
        <w:t>e</w:t>
      </w:r>
      <w:r w:rsidRPr="00C00F2A">
        <w:rPr>
          <w:sz w:val="22"/>
          <w:szCs w:val="22"/>
        </w:rPr>
        <w:t>čenom m</w:t>
      </w:r>
      <w:r w:rsidR="007B3BB5" w:rsidRPr="00C00F2A">
        <w:rPr>
          <w:sz w:val="22"/>
          <w:szCs w:val="22"/>
        </w:rPr>
        <w:t>j</w:t>
      </w:r>
      <w:r w:rsidRPr="00C00F2A">
        <w:rPr>
          <w:sz w:val="22"/>
          <w:szCs w:val="22"/>
        </w:rPr>
        <w:t>erom obaveznog l</w:t>
      </w:r>
      <w:r w:rsidR="007B3BB5" w:rsidRPr="00C00F2A">
        <w:rPr>
          <w:sz w:val="22"/>
          <w:szCs w:val="22"/>
        </w:rPr>
        <w:t>ij</w:t>
      </w:r>
      <w:r w:rsidRPr="00C00F2A">
        <w:rPr>
          <w:sz w:val="22"/>
          <w:szCs w:val="22"/>
        </w:rPr>
        <w:t>ečenja nalaze razm</w:t>
      </w:r>
      <w:r w:rsidR="007B3BB5" w:rsidRPr="00C00F2A">
        <w:rPr>
          <w:sz w:val="22"/>
          <w:szCs w:val="22"/>
        </w:rPr>
        <w:t>j</w:t>
      </w:r>
      <w:r w:rsidRPr="00C00F2A">
        <w:rPr>
          <w:sz w:val="22"/>
          <w:szCs w:val="22"/>
        </w:rPr>
        <w:t>ešteni po drugim od</w:t>
      </w:r>
      <w:r w:rsidR="007B3BB5" w:rsidRPr="00C00F2A">
        <w:rPr>
          <w:sz w:val="22"/>
          <w:szCs w:val="22"/>
        </w:rPr>
        <w:t>j</w:t>
      </w:r>
      <w:r w:rsidRPr="00C00F2A">
        <w:rPr>
          <w:sz w:val="22"/>
          <w:szCs w:val="22"/>
        </w:rPr>
        <w:t>eljenjima, dok postoji i lista čekanja ljudi sa izrečenom m</w:t>
      </w:r>
      <w:r w:rsidR="007B3BB5" w:rsidRPr="00C00F2A">
        <w:rPr>
          <w:sz w:val="22"/>
          <w:szCs w:val="22"/>
        </w:rPr>
        <w:t>j</w:t>
      </w:r>
      <w:r w:rsidRPr="00C00F2A">
        <w:rPr>
          <w:sz w:val="22"/>
          <w:szCs w:val="22"/>
        </w:rPr>
        <w:t>erom koji iz objektivnih razloga ne mogu biti upućeni u ovu bolnicu. Shodno navedenom, kapacitet bolnice moguće je odmah smanjiti za 70 m</w:t>
      </w:r>
      <w:r w:rsidR="007B3BB5" w:rsidRPr="00C00F2A">
        <w:rPr>
          <w:sz w:val="22"/>
          <w:szCs w:val="22"/>
        </w:rPr>
        <w:t>j</w:t>
      </w:r>
      <w:r w:rsidRPr="00C00F2A">
        <w:rPr>
          <w:sz w:val="22"/>
          <w:szCs w:val="22"/>
        </w:rPr>
        <w:t>esta</w:t>
      </w:r>
      <w:r w:rsidR="007B3BB5" w:rsidRPr="00C00F2A">
        <w:rPr>
          <w:sz w:val="22"/>
          <w:szCs w:val="22"/>
        </w:rPr>
        <w:t>,</w:t>
      </w:r>
      <w:r w:rsidRPr="00C00F2A">
        <w:rPr>
          <w:sz w:val="22"/>
          <w:szCs w:val="22"/>
        </w:rPr>
        <w:t xml:space="preserve"> ukoliko se osnuje posebna ustanova za ovu nam</w:t>
      </w:r>
      <w:r w:rsidR="007B3BB5" w:rsidRPr="00C00F2A">
        <w:rPr>
          <w:sz w:val="22"/>
          <w:szCs w:val="22"/>
        </w:rPr>
        <w:t>j</w:t>
      </w:r>
      <w:r w:rsidRPr="00C00F2A">
        <w:rPr>
          <w:sz w:val="22"/>
          <w:szCs w:val="22"/>
        </w:rPr>
        <w:t xml:space="preserve">enu. </w:t>
      </w:r>
      <w:r w:rsidR="001B4317" w:rsidRPr="00C00F2A">
        <w:rPr>
          <w:sz w:val="22"/>
          <w:szCs w:val="22"/>
        </w:rPr>
        <w:t>Potrebno je da se Ministarstvo pravde</w:t>
      </w:r>
      <w:r w:rsidR="007B3BB5" w:rsidRPr="00C00F2A">
        <w:rPr>
          <w:sz w:val="22"/>
          <w:szCs w:val="22"/>
        </w:rPr>
        <w:t>,</w:t>
      </w:r>
      <w:r w:rsidRPr="00C00F2A">
        <w:rPr>
          <w:sz w:val="22"/>
          <w:szCs w:val="22"/>
        </w:rPr>
        <w:t xml:space="preserve"> bez odlaganja</w:t>
      </w:r>
      <w:r w:rsidR="007B3BB5" w:rsidRPr="00C00F2A">
        <w:rPr>
          <w:sz w:val="22"/>
          <w:szCs w:val="22"/>
        </w:rPr>
        <w:t>,</w:t>
      </w:r>
      <w:r w:rsidR="001B4317" w:rsidRPr="00C00F2A">
        <w:rPr>
          <w:sz w:val="22"/>
          <w:szCs w:val="22"/>
        </w:rPr>
        <w:t xml:space="preserve"> uk</w:t>
      </w:r>
      <w:r w:rsidRPr="00C00F2A">
        <w:rPr>
          <w:sz w:val="22"/>
          <w:szCs w:val="22"/>
        </w:rPr>
        <w:t>ljuči u r</w:t>
      </w:r>
      <w:r w:rsidR="007B3BB5" w:rsidRPr="00C00F2A">
        <w:rPr>
          <w:sz w:val="22"/>
          <w:szCs w:val="22"/>
        </w:rPr>
        <w:t>j</w:t>
      </w:r>
      <w:r w:rsidRPr="00C00F2A">
        <w:rPr>
          <w:sz w:val="22"/>
          <w:szCs w:val="22"/>
        </w:rPr>
        <w:t xml:space="preserve">ešavanje ovog problema </w:t>
      </w:r>
      <w:r w:rsidR="00FC4847" w:rsidRPr="00C00F2A">
        <w:rPr>
          <w:sz w:val="22"/>
          <w:szCs w:val="22"/>
        </w:rPr>
        <w:t>za šta može biti iskorišćeno iskustvo</w:t>
      </w:r>
      <w:r w:rsidRPr="00C00F2A">
        <w:rPr>
          <w:sz w:val="22"/>
          <w:szCs w:val="22"/>
        </w:rPr>
        <w:t xml:space="preserve"> drug</w:t>
      </w:r>
      <w:r w:rsidR="00FC4847" w:rsidRPr="00C00F2A">
        <w:rPr>
          <w:sz w:val="22"/>
          <w:szCs w:val="22"/>
        </w:rPr>
        <w:t>ih</w:t>
      </w:r>
      <w:r w:rsidRPr="00C00F2A">
        <w:rPr>
          <w:sz w:val="22"/>
          <w:szCs w:val="22"/>
        </w:rPr>
        <w:t xml:space="preserve"> zem</w:t>
      </w:r>
      <w:r w:rsidR="00FC4847" w:rsidRPr="00C00F2A">
        <w:rPr>
          <w:sz w:val="22"/>
          <w:szCs w:val="22"/>
        </w:rPr>
        <w:t>a</w:t>
      </w:r>
      <w:r w:rsidRPr="00C00F2A">
        <w:rPr>
          <w:sz w:val="22"/>
          <w:szCs w:val="22"/>
        </w:rPr>
        <w:t>lj</w:t>
      </w:r>
      <w:r w:rsidR="00FC4847" w:rsidRPr="00C00F2A">
        <w:rPr>
          <w:sz w:val="22"/>
          <w:szCs w:val="22"/>
        </w:rPr>
        <w:t>a</w:t>
      </w:r>
      <w:r w:rsidRPr="00C00F2A">
        <w:rPr>
          <w:sz w:val="22"/>
          <w:szCs w:val="22"/>
        </w:rPr>
        <w:t xml:space="preserve"> u </w:t>
      </w:r>
      <w:r w:rsidR="00FC4847" w:rsidRPr="00C00F2A">
        <w:rPr>
          <w:sz w:val="22"/>
          <w:szCs w:val="22"/>
        </w:rPr>
        <w:t>regionu</w:t>
      </w:r>
      <w:r w:rsidRPr="00C00F2A">
        <w:rPr>
          <w:sz w:val="22"/>
          <w:szCs w:val="22"/>
        </w:rPr>
        <w:t>.</w:t>
      </w:r>
    </w:p>
    <w:p w:rsidR="00457FA3" w:rsidRPr="00C00F2A" w:rsidRDefault="007022CC" w:rsidP="009233BE">
      <w:pPr>
        <w:jc w:val="both"/>
        <w:rPr>
          <w:sz w:val="22"/>
          <w:szCs w:val="22"/>
        </w:rPr>
      </w:pPr>
      <w:r w:rsidRPr="00C00F2A">
        <w:rPr>
          <w:sz w:val="22"/>
          <w:szCs w:val="22"/>
        </w:rPr>
        <w:t>Ve</w:t>
      </w:r>
      <w:r w:rsidR="00141E14" w:rsidRPr="00C00F2A">
        <w:rPr>
          <w:sz w:val="22"/>
          <w:szCs w:val="22"/>
        </w:rPr>
        <w:t>ć</w:t>
      </w:r>
      <w:r w:rsidRPr="00C00F2A">
        <w:rPr>
          <w:sz w:val="22"/>
          <w:szCs w:val="22"/>
        </w:rPr>
        <w:t xml:space="preserve"> otvoreni Centri za mentalno z</w:t>
      </w:r>
      <w:r w:rsidR="002926AD">
        <w:rPr>
          <w:sz w:val="22"/>
          <w:szCs w:val="22"/>
        </w:rPr>
        <w:t>d</w:t>
      </w:r>
      <w:r w:rsidRPr="00C00F2A">
        <w:rPr>
          <w:sz w:val="22"/>
          <w:szCs w:val="22"/>
        </w:rPr>
        <w:t>ra</w:t>
      </w:r>
      <w:r w:rsidR="006655ED" w:rsidRPr="00C00F2A">
        <w:rPr>
          <w:sz w:val="22"/>
          <w:szCs w:val="22"/>
        </w:rPr>
        <w:t>vlje u zajednici predstavljaju d</w:t>
      </w:r>
      <w:r w:rsidRPr="00C00F2A">
        <w:rPr>
          <w:sz w:val="22"/>
          <w:szCs w:val="22"/>
        </w:rPr>
        <w:t>o</w:t>
      </w:r>
      <w:r w:rsidR="006655ED" w:rsidRPr="00C00F2A">
        <w:rPr>
          <w:sz w:val="22"/>
          <w:szCs w:val="22"/>
        </w:rPr>
        <w:t>b</w:t>
      </w:r>
      <w:r w:rsidRPr="00C00F2A">
        <w:rPr>
          <w:sz w:val="22"/>
          <w:szCs w:val="22"/>
        </w:rPr>
        <w:t>ru polaznu osnovu za podršku procesu deinstitucionalizacije, ali je potrebno dosta raditi na unapređenju njihovog kapaciteta</w:t>
      </w:r>
      <w:r w:rsidR="007E2D40" w:rsidRPr="00C00F2A">
        <w:rPr>
          <w:sz w:val="22"/>
          <w:szCs w:val="22"/>
        </w:rPr>
        <w:t>,</w:t>
      </w:r>
      <w:r w:rsidRPr="00C00F2A">
        <w:rPr>
          <w:sz w:val="22"/>
          <w:szCs w:val="22"/>
        </w:rPr>
        <w:t xml:space="preserve"> kako bi na adekvatan način mogli brinuti o pacijentima koji su bili dugotrajno hospitalizovani. Takođe, oni će morati dobiti podršku drugih servisa na lokalnom nivou koji bi zadovoljili druge potrebe ovih osoba koje izlaze van sistema pružanja zdravstvene zaštite, već se odnose </w:t>
      </w:r>
      <w:r w:rsidR="00721F51" w:rsidRPr="00C00F2A">
        <w:rPr>
          <w:sz w:val="22"/>
          <w:szCs w:val="22"/>
        </w:rPr>
        <w:t>n</w:t>
      </w:r>
      <w:r w:rsidRPr="00C00F2A">
        <w:rPr>
          <w:sz w:val="22"/>
          <w:szCs w:val="22"/>
        </w:rPr>
        <w:t>a zad</w:t>
      </w:r>
      <w:r w:rsidR="00721F51" w:rsidRPr="00C00F2A">
        <w:rPr>
          <w:sz w:val="22"/>
          <w:szCs w:val="22"/>
        </w:rPr>
        <w:t>o</w:t>
      </w:r>
      <w:r w:rsidRPr="00C00F2A">
        <w:rPr>
          <w:sz w:val="22"/>
          <w:szCs w:val="22"/>
        </w:rPr>
        <w:t>voljavanje drugih potreba – socijalnih, obrazovnih, kulturnih itd.</w:t>
      </w:r>
      <w:r w:rsidR="000A1038" w:rsidRPr="00C00F2A">
        <w:rPr>
          <w:sz w:val="22"/>
          <w:szCs w:val="22"/>
        </w:rPr>
        <w:t xml:space="preserve"> To bi se moglo postići kreiranjem akcionih planova na lokalnom nivou koji bi obezb</w:t>
      </w:r>
      <w:r w:rsidR="000A0D68" w:rsidRPr="00C00F2A">
        <w:rPr>
          <w:sz w:val="22"/>
          <w:szCs w:val="22"/>
        </w:rPr>
        <w:t>ij</w:t>
      </w:r>
      <w:r w:rsidR="000A1038" w:rsidRPr="00C00F2A">
        <w:rPr>
          <w:sz w:val="22"/>
          <w:szCs w:val="22"/>
        </w:rPr>
        <w:t>edili da planirane m</w:t>
      </w:r>
      <w:r w:rsidR="000A0D68" w:rsidRPr="00C00F2A">
        <w:rPr>
          <w:sz w:val="22"/>
          <w:szCs w:val="22"/>
        </w:rPr>
        <w:t>j</w:t>
      </w:r>
      <w:r w:rsidR="000A1038" w:rsidRPr="00C00F2A">
        <w:rPr>
          <w:sz w:val="22"/>
          <w:szCs w:val="22"/>
        </w:rPr>
        <w:t>ere budu prilagođene lokalnom kontekstu i da odgovaraju na realne potrebe lokalnog stanovništva.</w:t>
      </w:r>
    </w:p>
    <w:p w:rsidR="005E060C" w:rsidRPr="00C00F2A" w:rsidRDefault="005E060C" w:rsidP="005E060C">
      <w:pPr>
        <w:rPr>
          <w:sz w:val="22"/>
          <w:szCs w:val="22"/>
        </w:rPr>
      </w:pPr>
    </w:p>
    <w:p w:rsidR="007022CC" w:rsidRPr="00C00F2A" w:rsidRDefault="007022CC" w:rsidP="00E57D6A">
      <w:pPr>
        <w:pStyle w:val="Heading2"/>
        <w:sectPr w:rsidR="007022CC" w:rsidRPr="00C00F2A">
          <w:pgSz w:w="12240" w:h="15840"/>
          <w:pgMar w:top="1440" w:right="1440" w:bottom="1440" w:left="1440" w:header="720" w:footer="720" w:gutter="0"/>
          <w:cols w:space="720"/>
          <w:docGrid w:linePitch="360"/>
        </w:sectPr>
      </w:pPr>
    </w:p>
    <w:p w:rsidR="00E57D6A" w:rsidRPr="00C00F2A" w:rsidRDefault="00724CD2" w:rsidP="00E57D6A">
      <w:pPr>
        <w:pStyle w:val="Heading2"/>
      </w:pPr>
      <w:bookmarkStart w:id="20" w:name="_Toc473540828"/>
      <w:r w:rsidRPr="00C00F2A">
        <w:t>Zaključci i p</w:t>
      </w:r>
      <w:r w:rsidR="00E57D6A" w:rsidRPr="00C00F2A">
        <w:t>reporuke</w:t>
      </w:r>
      <w:bookmarkEnd w:id="20"/>
      <w:r w:rsidR="00E57D6A" w:rsidRPr="00C00F2A">
        <w:t xml:space="preserve"> </w:t>
      </w:r>
    </w:p>
    <w:p w:rsidR="00341776" w:rsidRPr="00C00F2A" w:rsidRDefault="00FD2570" w:rsidP="009233BE">
      <w:pPr>
        <w:jc w:val="both"/>
        <w:rPr>
          <w:sz w:val="22"/>
          <w:szCs w:val="22"/>
        </w:rPr>
      </w:pPr>
      <w:r w:rsidRPr="00C00F2A">
        <w:rPr>
          <w:noProof/>
          <w:sz w:val="22"/>
          <w:szCs w:val="22"/>
          <w:lang w:val="en-US"/>
        </w:rPr>
        <mc:AlternateContent>
          <mc:Choice Requires="wps">
            <w:drawing>
              <wp:anchor distT="0" distB="0" distL="114300" distR="114300" simplePos="0" relativeHeight="251692032" behindDoc="0" locked="0" layoutInCell="1" allowOverlap="1" wp14:anchorId="7C06722F" wp14:editId="1E5762B2">
                <wp:simplePos x="0" y="0"/>
                <wp:positionH relativeFrom="column">
                  <wp:posOffset>-26035</wp:posOffset>
                </wp:positionH>
                <wp:positionV relativeFrom="page">
                  <wp:posOffset>2760345</wp:posOffset>
                </wp:positionV>
                <wp:extent cx="5879465" cy="1863090"/>
                <wp:effectExtent l="0" t="0" r="26035" b="22860"/>
                <wp:wrapTopAndBottom/>
                <wp:docPr id="6" name="Rounded Rectangle 6"/>
                <wp:cNvGraphicFramePr/>
                <a:graphic xmlns:a="http://schemas.openxmlformats.org/drawingml/2006/main">
                  <a:graphicData uri="http://schemas.microsoft.com/office/word/2010/wordprocessingShape">
                    <wps:wsp>
                      <wps:cNvSpPr/>
                      <wps:spPr>
                        <a:xfrm>
                          <a:off x="0" y="0"/>
                          <a:ext cx="5879465" cy="186309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F67406" w:rsidRPr="00B52F15" w:rsidRDefault="00F67406" w:rsidP="009233BE">
                            <w:pPr>
                              <w:jc w:val="both"/>
                              <w:rPr>
                                <w:b/>
                                <w:sz w:val="22"/>
                              </w:rPr>
                            </w:pPr>
                            <w:r w:rsidRPr="00B52F15">
                              <w:rPr>
                                <w:b/>
                                <w:sz w:val="22"/>
                              </w:rPr>
                              <w:t>Filozofija reforme u psihijatriji u svim evropskim zemljama se, direktno ili indirektno, zasniva na nekoliko ključnih principa socijalne psihijatrije, prateći sljedeće tren</w:t>
                            </w:r>
                            <w:r>
                              <w:rPr>
                                <w:b/>
                                <w:sz w:val="22"/>
                              </w:rPr>
                              <w:t>d</w:t>
                            </w:r>
                            <w:r w:rsidRPr="00B52F15">
                              <w:rPr>
                                <w:b/>
                                <w:sz w:val="22"/>
                              </w:rPr>
                              <w:t>ove:</w:t>
                            </w:r>
                          </w:p>
                          <w:p w:rsidR="00F67406" w:rsidRPr="00B52F15" w:rsidRDefault="00F67406" w:rsidP="009233BE">
                            <w:pPr>
                              <w:pStyle w:val="ListParagraph"/>
                              <w:numPr>
                                <w:ilvl w:val="0"/>
                                <w:numId w:val="14"/>
                              </w:numPr>
                              <w:jc w:val="both"/>
                              <w:rPr>
                                <w:b/>
                                <w:sz w:val="22"/>
                              </w:rPr>
                            </w:pPr>
                            <w:r w:rsidRPr="00B52F15">
                              <w:rPr>
                                <w:b/>
                                <w:sz w:val="22"/>
                              </w:rPr>
                              <w:t>zatvaranje starih psihijatrijskih bolnica azilarnog tipa;</w:t>
                            </w:r>
                          </w:p>
                          <w:p w:rsidR="00F67406" w:rsidRPr="00B52F15" w:rsidRDefault="00F67406" w:rsidP="009233BE">
                            <w:pPr>
                              <w:pStyle w:val="ListParagraph"/>
                              <w:numPr>
                                <w:ilvl w:val="0"/>
                                <w:numId w:val="14"/>
                              </w:numPr>
                              <w:jc w:val="both"/>
                              <w:rPr>
                                <w:b/>
                                <w:sz w:val="22"/>
                              </w:rPr>
                            </w:pPr>
                            <w:r w:rsidRPr="00B52F15">
                              <w:rPr>
                                <w:b/>
                                <w:sz w:val="22"/>
                              </w:rPr>
                              <w:t>razvoj alternativnih usluga i programa u zajednici;</w:t>
                            </w:r>
                          </w:p>
                          <w:p w:rsidR="00F67406" w:rsidRPr="00B52F15" w:rsidRDefault="00F67406" w:rsidP="009233BE">
                            <w:pPr>
                              <w:pStyle w:val="ListParagraph"/>
                              <w:numPr>
                                <w:ilvl w:val="0"/>
                                <w:numId w:val="14"/>
                              </w:numPr>
                              <w:jc w:val="both"/>
                              <w:rPr>
                                <w:b/>
                                <w:sz w:val="22"/>
                              </w:rPr>
                            </w:pPr>
                            <w:r w:rsidRPr="00B52F15">
                              <w:rPr>
                                <w:b/>
                                <w:sz w:val="22"/>
                              </w:rPr>
                              <w:t>integracija sa opštim zdravstvenim uslugama</w:t>
                            </w:r>
                            <w:r>
                              <w:rPr>
                                <w:b/>
                                <w:sz w:val="22"/>
                              </w:rPr>
                              <w:t>,</w:t>
                            </w:r>
                          </w:p>
                          <w:p w:rsidR="00F67406" w:rsidRPr="00B52F15" w:rsidRDefault="00F67406" w:rsidP="009233BE">
                            <w:pPr>
                              <w:pStyle w:val="ListParagraph"/>
                              <w:numPr>
                                <w:ilvl w:val="0"/>
                                <w:numId w:val="14"/>
                              </w:numPr>
                              <w:jc w:val="both"/>
                              <w:rPr>
                                <w:b/>
                                <w:sz w:val="22"/>
                              </w:rPr>
                            </w:pPr>
                            <w:r w:rsidRPr="00B52F15">
                              <w:rPr>
                                <w:b/>
                                <w:sz w:val="22"/>
                              </w:rPr>
                              <w:t>integracija sa socijalnim i drugim uslugama u zajednici.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35" style="position:absolute;left:0;text-align:left;margin-left:-2pt;margin-top:217.35pt;width:462.95pt;height:146.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" fillcolor="white [3201]" strokecolor="#4f81bd [3204]" strokeweight="2pt">
                <v:textbox>
                  <w:txbxContent>
                    <w:p w:rsidR="00F67406" w:rsidRPr="00B52F15" w:rsidRDefault="00F67406" w:rsidP="009233BE">
                      <w:pPr>
                        <w:jc w:val="both"/>
                        <w:rPr>
                          <w:b/>
                          <w:sz w:val="22"/>
                        </w:rPr>
                      </w:pPr>
                      <w:r w:rsidRPr="00B52F15">
                        <w:rPr>
                          <w:b/>
                          <w:sz w:val="22"/>
                        </w:rPr>
                        <w:t>Filozofija reforme u psihijatriji u svim evropskim zemljama se, direktno ili indirektno, zasniva na nekoliko ključnih principa socijalne psihijatrije, prateći sljedeće tren</w:t>
                      </w:r>
                      <w:r>
                        <w:rPr>
                          <w:b/>
                          <w:sz w:val="22"/>
                        </w:rPr>
                        <w:t>d</w:t>
                      </w:r>
                      <w:r w:rsidRPr="00B52F15">
                        <w:rPr>
                          <w:b/>
                          <w:sz w:val="22"/>
                        </w:rPr>
                        <w:t>ove:</w:t>
                      </w:r>
                    </w:p>
                    <w:p w:rsidR="00F67406" w:rsidRPr="00B52F15" w:rsidRDefault="00F67406" w:rsidP="009233BE">
                      <w:pPr>
                        <w:pStyle w:val="ListParagraph"/>
                        <w:numPr>
                          <w:ilvl w:val="0"/>
                          <w:numId w:val="14"/>
                        </w:numPr>
                        <w:jc w:val="both"/>
                        <w:rPr>
                          <w:b/>
                          <w:sz w:val="22"/>
                        </w:rPr>
                      </w:pPr>
                      <w:r w:rsidRPr="00B52F15">
                        <w:rPr>
                          <w:b/>
                          <w:sz w:val="22"/>
                        </w:rPr>
                        <w:t>zatvaranje starih psihijatrijskih bolnica azilarnog tipa;</w:t>
                      </w:r>
                    </w:p>
                    <w:p w:rsidR="00F67406" w:rsidRPr="00B52F15" w:rsidRDefault="00F67406" w:rsidP="009233BE">
                      <w:pPr>
                        <w:pStyle w:val="ListParagraph"/>
                        <w:numPr>
                          <w:ilvl w:val="0"/>
                          <w:numId w:val="14"/>
                        </w:numPr>
                        <w:jc w:val="both"/>
                        <w:rPr>
                          <w:b/>
                          <w:sz w:val="22"/>
                        </w:rPr>
                      </w:pPr>
                      <w:r w:rsidRPr="00B52F15">
                        <w:rPr>
                          <w:b/>
                          <w:sz w:val="22"/>
                        </w:rPr>
                        <w:t>razvoj alternativnih usluga i programa u zajednici;</w:t>
                      </w:r>
                    </w:p>
                    <w:p w:rsidR="00F67406" w:rsidRPr="00B52F15" w:rsidRDefault="00F67406" w:rsidP="009233BE">
                      <w:pPr>
                        <w:pStyle w:val="ListParagraph"/>
                        <w:numPr>
                          <w:ilvl w:val="0"/>
                          <w:numId w:val="14"/>
                        </w:numPr>
                        <w:jc w:val="both"/>
                        <w:rPr>
                          <w:b/>
                          <w:sz w:val="22"/>
                        </w:rPr>
                      </w:pPr>
                      <w:r w:rsidRPr="00B52F15">
                        <w:rPr>
                          <w:b/>
                          <w:sz w:val="22"/>
                        </w:rPr>
                        <w:t>integracija sa opštim zdravstvenim uslugama</w:t>
                      </w:r>
                      <w:r>
                        <w:rPr>
                          <w:b/>
                          <w:sz w:val="22"/>
                        </w:rPr>
                        <w:t>,</w:t>
                      </w:r>
                    </w:p>
                    <w:p w:rsidR="00F67406" w:rsidRPr="00B52F15" w:rsidRDefault="00F67406" w:rsidP="009233BE">
                      <w:pPr>
                        <w:pStyle w:val="ListParagraph"/>
                        <w:numPr>
                          <w:ilvl w:val="0"/>
                          <w:numId w:val="14"/>
                        </w:numPr>
                        <w:jc w:val="both"/>
                        <w:rPr>
                          <w:b/>
                          <w:sz w:val="22"/>
                        </w:rPr>
                      </w:pPr>
                      <w:r w:rsidRPr="00B52F15">
                        <w:rPr>
                          <w:b/>
                          <w:sz w:val="22"/>
                        </w:rPr>
                        <w:t>integracija sa socijalnim i drugim uslugama u zajednici.</w:t>
                      </w:r>
                    </w:p>
                  </w:txbxContent>
                </v:textbox>
                <w10:wrap type="topAndBottom" anchory="page"/>
              </v:roundrect>
            </w:pict>
          </mc:Fallback>
        </mc:AlternateContent>
      </w:r>
      <w:r w:rsidRPr="00C00F2A">
        <w:rPr>
          <w:sz w:val="22"/>
          <w:szCs w:val="22"/>
        </w:rPr>
        <w:t>Iz prikazanih prim</w:t>
      </w:r>
      <w:r w:rsidR="000A0D68" w:rsidRPr="00C00F2A">
        <w:rPr>
          <w:sz w:val="22"/>
          <w:szCs w:val="22"/>
        </w:rPr>
        <w:t>j</w:t>
      </w:r>
      <w:r w:rsidRPr="00C00F2A">
        <w:rPr>
          <w:sz w:val="22"/>
          <w:szCs w:val="22"/>
        </w:rPr>
        <w:t>era možemo vid</w:t>
      </w:r>
      <w:r w:rsidR="000A0D68" w:rsidRPr="00C00F2A">
        <w:rPr>
          <w:sz w:val="22"/>
          <w:szCs w:val="22"/>
        </w:rPr>
        <w:t>j</w:t>
      </w:r>
      <w:r w:rsidRPr="00C00F2A">
        <w:rPr>
          <w:sz w:val="22"/>
          <w:szCs w:val="22"/>
        </w:rPr>
        <w:t>eti da se reforma u različitim zemljama odvijala različitim tempom i da je usluge potrebno kontinuirano unapređivati. Naš cilj je bio da pokažemo da proces deinstitucionalizacije nije samo zasnovan na principima i obavezujućim standardima ljudskih prava</w:t>
      </w:r>
      <w:r w:rsidR="000A0D68" w:rsidRPr="00C00F2A">
        <w:rPr>
          <w:sz w:val="22"/>
          <w:szCs w:val="22"/>
        </w:rPr>
        <w:t>,</w:t>
      </w:r>
      <w:r w:rsidRPr="00C00F2A">
        <w:rPr>
          <w:sz w:val="22"/>
          <w:szCs w:val="22"/>
        </w:rPr>
        <w:t xml:space="preserve"> već da ima široko utemeljenje u iskustvima iz drugih zemalja</w:t>
      </w:r>
      <w:r w:rsidR="000A0D68" w:rsidRPr="00C00F2A">
        <w:rPr>
          <w:sz w:val="22"/>
          <w:szCs w:val="22"/>
        </w:rPr>
        <w:t>,</w:t>
      </w:r>
      <w:r w:rsidRPr="00C00F2A">
        <w:rPr>
          <w:sz w:val="22"/>
          <w:szCs w:val="22"/>
        </w:rPr>
        <w:t xml:space="preserve"> koja se tiču kako kvaliteta pruženih usluga</w:t>
      </w:r>
      <w:r w:rsidR="000A0D68" w:rsidRPr="00C00F2A">
        <w:rPr>
          <w:sz w:val="22"/>
          <w:szCs w:val="22"/>
        </w:rPr>
        <w:t>,</w:t>
      </w:r>
      <w:r w:rsidRPr="00C00F2A">
        <w:rPr>
          <w:sz w:val="22"/>
          <w:szCs w:val="22"/>
        </w:rPr>
        <w:t xml:space="preserve"> tako i kvaliteta života osoba kojima su ove usluge nam</w:t>
      </w:r>
      <w:r w:rsidR="000A0D68" w:rsidRPr="00C00F2A">
        <w:rPr>
          <w:sz w:val="22"/>
          <w:szCs w:val="22"/>
        </w:rPr>
        <w:t>ij</w:t>
      </w:r>
      <w:r w:rsidRPr="00C00F2A">
        <w:rPr>
          <w:sz w:val="22"/>
          <w:szCs w:val="22"/>
        </w:rPr>
        <w:t>enjene.</w:t>
      </w:r>
    </w:p>
    <w:p w:rsidR="00FD2570" w:rsidRPr="00C00F2A" w:rsidRDefault="00FD2570" w:rsidP="00FD2570">
      <w:pPr>
        <w:rPr>
          <w:sz w:val="22"/>
          <w:szCs w:val="22"/>
        </w:rPr>
      </w:pPr>
    </w:p>
    <w:p w:rsidR="00FD2570" w:rsidRPr="00C00F2A" w:rsidRDefault="00FD2570" w:rsidP="00797DF8">
      <w:pPr>
        <w:jc w:val="both"/>
        <w:rPr>
          <w:sz w:val="22"/>
          <w:szCs w:val="22"/>
        </w:rPr>
      </w:pPr>
      <w:r w:rsidRPr="00C00F2A">
        <w:rPr>
          <w:sz w:val="22"/>
          <w:szCs w:val="22"/>
        </w:rPr>
        <w:t xml:space="preserve">Obavezni elementi procesa deinstitucionalizacije jesu </w:t>
      </w:r>
      <w:r w:rsidRPr="00C00F2A">
        <w:rPr>
          <w:b/>
          <w:sz w:val="22"/>
          <w:szCs w:val="22"/>
        </w:rPr>
        <w:t>prevencija</w:t>
      </w:r>
      <w:r w:rsidRPr="00C00F2A">
        <w:rPr>
          <w:sz w:val="22"/>
          <w:szCs w:val="22"/>
        </w:rPr>
        <w:t xml:space="preserve"> kroz </w:t>
      </w:r>
      <w:r w:rsidRPr="00C00F2A">
        <w:rPr>
          <w:i/>
          <w:sz w:val="22"/>
          <w:szCs w:val="22"/>
        </w:rPr>
        <w:t xml:space="preserve">razvijanje odgovarajućih usluga i zabranu novih prijema </w:t>
      </w:r>
      <w:r w:rsidRPr="00C00F2A">
        <w:rPr>
          <w:sz w:val="22"/>
          <w:szCs w:val="22"/>
        </w:rPr>
        <w:t xml:space="preserve">u institucije sa jedne strane, a sa druge strane stvaranje uslova za </w:t>
      </w:r>
      <w:r w:rsidRPr="00C00F2A">
        <w:rPr>
          <w:b/>
          <w:sz w:val="22"/>
          <w:szCs w:val="22"/>
        </w:rPr>
        <w:t>izlazak ljudi iz institucija</w:t>
      </w:r>
      <w:r w:rsidRPr="00C00F2A">
        <w:rPr>
          <w:sz w:val="22"/>
          <w:szCs w:val="22"/>
        </w:rPr>
        <w:t xml:space="preserve"> uz </w:t>
      </w:r>
      <w:r w:rsidRPr="00C00F2A">
        <w:rPr>
          <w:i/>
          <w:sz w:val="22"/>
          <w:szCs w:val="22"/>
        </w:rPr>
        <w:t>obezb</w:t>
      </w:r>
      <w:r w:rsidR="000A0D68" w:rsidRPr="00C00F2A">
        <w:rPr>
          <w:i/>
          <w:sz w:val="22"/>
          <w:szCs w:val="22"/>
        </w:rPr>
        <w:t>j</w:t>
      </w:r>
      <w:r w:rsidRPr="00C00F2A">
        <w:rPr>
          <w:i/>
          <w:sz w:val="22"/>
          <w:szCs w:val="22"/>
        </w:rPr>
        <w:t>eđivanje alternativnih oblika stanovanja sa odgovarajućom podrškom</w:t>
      </w:r>
      <w:r w:rsidR="00D205E4" w:rsidRPr="00C00F2A">
        <w:rPr>
          <w:sz w:val="22"/>
          <w:szCs w:val="22"/>
        </w:rPr>
        <w:t xml:space="preserve"> </w:t>
      </w:r>
      <w:r w:rsidRPr="00C00F2A">
        <w:rPr>
          <w:sz w:val="22"/>
          <w:szCs w:val="22"/>
        </w:rPr>
        <w:t>za one koji nemaju sopstvene prihode, stanove ili porodično okruženje u koje mogu da se vrate. Osim razvijanja spec</w:t>
      </w:r>
      <w:r w:rsidR="00D205E4" w:rsidRPr="00C00F2A">
        <w:rPr>
          <w:sz w:val="22"/>
          <w:szCs w:val="22"/>
        </w:rPr>
        <w:t>ijalizovanih usluga koje treba</w:t>
      </w:r>
      <w:r w:rsidRPr="00C00F2A">
        <w:rPr>
          <w:sz w:val="22"/>
          <w:szCs w:val="22"/>
        </w:rPr>
        <w:t xml:space="preserve"> da odgovore na specifične okolnosti svake ciljne grupe, neophodno je da se postojeće usluge</w:t>
      </w:r>
      <w:r w:rsidR="00D205E4" w:rsidRPr="00C00F2A">
        <w:rPr>
          <w:sz w:val="22"/>
          <w:szCs w:val="22"/>
        </w:rPr>
        <w:t>,</w:t>
      </w:r>
      <w:r w:rsidRPr="00C00F2A">
        <w:rPr>
          <w:sz w:val="22"/>
          <w:szCs w:val="22"/>
        </w:rPr>
        <w:t xml:space="preserve"> nam</w:t>
      </w:r>
      <w:r w:rsidR="00D205E4" w:rsidRPr="00C00F2A">
        <w:rPr>
          <w:sz w:val="22"/>
          <w:szCs w:val="22"/>
        </w:rPr>
        <w:t>ij</w:t>
      </w:r>
      <w:r w:rsidRPr="00C00F2A">
        <w:rPr>
          <w:sz w:val="22"/>
          <w:szCs w:val="22"/>
        </w:rPr>
        <w:t>enjene stanovništvu</w:t>
      </w:r>
      <w:r w:rsidR="00D205E4" w:rsidRPr="00C00F2A">
        <w:rPr>
          <w:sz w:val="22"/>
          <w:szCs w:val="22"/>
        </w:rPr>
        <w:t>,</w:t>
      </w:r>
      <w:r w:rsidRPr="00C00F2A">
        <w:rPr>
          <w:sz w:val="22"/>
          <w:szCs w:val="22"/>
        </w:rPr>
        <w:t xml:space="preserve"> učine dostupnim za sve građanke i građane sa invaliditetom, bez obzira na stepen i vrstu njihovih poteškoća.</w:t>
      </w:r>
    </w:p>
    <w:p w:rsidR="00FD2570" w:rsidRPr="00C00F2A" w:rsidRDefault="00FD2570" w:rsidP="00797DF8">
      <w:pPr>
        <w:jc w:val="both"/>
        <w:rPr>
          <w:sz w:val="22"/>
          <w:szCs w:val="22"/>
        </w:rPr>
      </w:pPr>
      <w:r w:rsidRPr="00C00F2A">
        <w:rPr>
          <w:sz w:val="22"/>
          <w:szCs w:val="22"/>
        </w:rPr>
        <w:t>Shodno prikazanim prim</w:t>
      </w:r>
      <w:r w:rsidR="00D205E4" w:rsidRPr="00C00F2A">
        <w:rPr>
          <w:sz w:val="22"/>
          <w:szCs w:val="22"/>
        </w:rPr>
        <w:t>j</w:t>
      </w:r>
      <w:r w:rsidRPr="00C00F2A">
        <w:rPr>
          <w:sz w:val="22"/>
          <w:szCs w:val="22"/>
        </w:rPr>
        <w:t>erima dajemo predlog prioritenih koraka u procesu deinstitucionalizacije tj. prelaska sa institucionalne zaštite na brigu i podršku u zajednici u Crnoj Gori.</w:t>
      </w:r>
    </w:p>
    <w:p w:rsidR="00FD2570" w:rsidRPr="005F4EF6" w:rsidRDefault="00FD2570" w:rsidP="00797DF8">
      <w:pPr>
        <w:pStyle w:val="ListParagraph"/>
        <w:numPr>
          <w:ilvl w:val="0"/>
          <w:numId w:val="26"/>
        </w:numPr>
        <w:spacing w:before="0"/>
        <w:jc w:val="both"/>
        <w:rPr>
          <w:b/>
          <w:sz w:val="22"/>
          <w:szCs w:val="22"/>
        </w:rPr>
      </w:pPr>
      <w:r w:rsidRPr="00C00F2A">
        <w:rPr>
          <w:b/>
          <w:sz w:val="22"/>
          <w:szCs w:val="22"/>
        </w:rPr>
        <w:t xml:space="preserve">Usvojiti strategiju i akcioni plan za deinstitucionalizaciju. </w:t>
      </w:r>
      <w:r w:rsidRPr="00C00F2A">
        <w:rPr>
          <w:sz w:val="22"/>
          <w:szCs w:val="22"/>
        </w:rPr>
        <w:t>Strateški dokument mora biti usvojen od strane najvišeg organa izvršne vlasti kako bi se obezb</w:t>
      </w:r>
      <w:r w:rsidR="00D205E4" w:rsidRPr="00C00F2A">
        <w:rPr>
          <w:sz w:val="22"/>
          <w:szCs w:val="22"/>
        </w:rPr>
        <w:t>ij</w:t>
      </w:r>
      <w:r w:rsidRPr="00C00F2A">
        <w:rPr>
          <w:sz w:val="22"/>
          <w:szCs w:val="22"/>
        </w:rPr>
        <w:t xml:space="preserve">edilo aktivno učešće svih resora u njegovoj </w:t>
      </w:r>
      <w:r w:rsidR="00695967" w:rsidRPr="00C00F2A">
        <w:rPr>
          <w:sz w:val="22"/>
          <w:szCs w:val="22"/>
        </w:rPr>
        <w:t xml:space="preserve">izradi i </w:t>
      </w:r>
      <w:r w:rsidRPr="00C00F2A">
        <w:rPr>
          <w:sz w:val="22"/>
          <w:szCs w:val="22"/>
        </w:rPr>
        <w:t>prim</w:t>
      </w:r>
      <w:r w:rsidR="00D205E4" w:rsidRPr="00C00F2A">
        <w:rPr>
          <w:sz w:val="22"/>
          <w:szCs w:val="22"/>
        </w:rPr>
        <w:t>j</w:t>
      </w:r>
      <w:r w:rsidRPr="00C00F2A">
        <w:rPr>
          <w:sz w:val="22"/>
          <w:szCs w:val="22"/>
        </w:rPr>
        <w:t>eni. Str</w:t>
      </w:r>
      <w:r w:rsidR="00F67406">
        <w:rPr>
          <w:sz w:val="22"/>
          <w:szCs w:val="22"/>
        </w:rPr>
        <w:t>a</w:t>
      </w:r>
      <w:r w:rsidRPr="00C00F2A">
        <w:rPr>
          <w:sz w:val="22"/>
          <w:szCs w:val="22"/>
        </w:rPr>
        <w:t>tegija, između ostalog, mora obuhvatiti pitanje prevencije i izlaska ljudi iz institucija, finansiranje, razvoj standarda kvaliteta novih usluga, potrebne izm</w:t>
      </w:r>
      <w:r w:rsidR="00D205E4" w:rsidRPr="00C00F2A">
        <w:rPr>
          <w:sz w:val="22"/>
          <w:szCs w:val="22"/>
        </w:rPr>
        <w:t>j</w:t>
      </w:r>
      <w:r w:rsidRPr="00C00F2A">
        <w:rPr>
          <w:sz w:val="22"/>
          <w:szCs w:val="22"/>
        </w:rPr>
        <w:t>ene propisa, jačanje ljudskih resursa, kampanje za podizanje sv</w:t>
      </w:r>
      <w:r w:rsidR="00D205E4" w:rsidRPr="00C00F2A">
        <w:rPr>
          <w:sz w:val="22"/>
          <w:szCs w:val="22"/>
        </w:rPr>
        <w:t>ij</w:t>
      </w:r>
      <w:r w:rsidRPr="00C00F2A">
        <w:rPr>
          <w:sz w:val="22"/>
          <w:szCs w:val="22"/>
        </w:rPr>
        <w:t xml:space="preserve">esti i razbijanje predrasuda, zabranu novih prijema i participaciju korisnika usluga. </w:t>
      </w:r>
      <w:r w:rsidR="00695967" w:rsidRPr="00C00F2A">
        <w:rPr>
          <w:sz w:val="22"/>
          <w:szCs w:val="22"/>
        </w:rPr>
        <w:t>Na prim</w:t>
      </w:r>
      <w:r w:rsidR="00D205E4" w:rsidRPr="00C00F2A">
        <w:rPr>
          <w:sz w:val="22"/>
          <w:szCs w:val="22"/>
        </w:rPr>
        <w:t>j</w:t>
      </w:r>
      <w:r w:rsidR="00695967" w:rsidRPr="00C00F2A">
        <w:rPr>
          <w:sz w:val="22"/>
          <w:szCs w:val="22"/>
        </w:rPr>
        <w:t>er, dobar strateški okvir karakteriše reformu u Italiji i Velikoj Britaniji.</w:t>
      </w:r>
    </w:p>
    <w:p w:rsidR="005F4EF6" w:rsidRPr="00F67406" w:rsidRDefault="005F4EF6" w:rsidP="005F4EF6">
      <w:pPr>
        <w:pStyle w:val="ListParagraph"/>
        <w:spacing w:before="0"/>
        <w:jc w:val="both"/>
        <w:rPr>
          <w:b/>
          <w:sz w:val="18"/>
          <w:szCs w:val="18"/>
        </w:rPr>
      </w:pPr>
    </w:p>
    <w:p w:rsidR="00FD2570" w:rsidRPr="00C00F2A" w:rsidRDefault="00FD2570" w:rsidP="00797DF8">
      <w:pPr>
        <w:pStyle w:val="ListParagraph"/>
        <w:jc w:val="both"/>
        <w:rPr>
          <w:sz w:val="22"/>
          <w:szCs w:val="22"/>
        </w:rPr>
      </w:pPr>
      <w:r w:rsidRPr="00C00F2A">
        <w:rPr>
          <w:sz w:val="22"/>
          <w:szCs w:val="22"/>
        </w:rPr>
        <w:t xml:space="preserve">Dobar akcioni plan mora imati jasno definisane korake i odgovore na većinu pitanja, sa realnim, ali ne i predugim rokovima za realizaciju. Plan se mora redovno preispitivati. </w:t>
      </w:r>
    </w:p>
    <w:p w:rsidR="00FD2570" w:rsidRPr="00C00F2A" w:rsidRDefault="00FD2570" w:rsidP="00797DF8">
      <w:pPr>
        <w:pStyle w:val="ListParagraph"/>
        <w:jc w:val="both"/>
        <w:rPr>
          <w:sz w:val="22"/>
          <w:szCs w:val="22"/>
        </w:rPr>
      </w:pPr>
      <w:r w:rsidRPr="00C00F2A">
        <w:rPr>
          <w:sz w:val="22"/>
          <w:szCs w:val="22"/>
        </w:rPr>
        <w:t>Ovd</w:t>
      </w:r>
      <w:r w:rsidR="00431C73" w:rsidRPr="00C00F2A">
        <w:rPr>
          <w:sz w:val="22"/>
          <w:szCs w:val="22"/>
        </w:rPr>
        <w:t>j</w:t>
      </w:r>
      <w:r w:rsidRPr="00C00F2A">
        <w:rPr>
          <w:sz w:val="22"/>
          <w:szCs w:val="22"/>
        </w:rPr>
        <w:t>e je moguća nadogradnja Strategije za unapređenje mentalnog zdravlja u Crnoj Gori koja bi se mogla podići na viši nivo, u smislu prenošenja nadležnosti sa ministarstva na međuministarsko t</w:t>
      </w:r>
      <w:r w:rsidR="00431C73" w:rsidRPr="00C00F2A">
        <w:rPr>
          <w:sz w:val="22"/>
          <w:szCs w:val="22"/>
        </w:rPr>
        <w:t>ij</w:t>
      </w:r>
      <w:r w:rsidRPr="00C00F2A">
        <w:rPr>
          <w:sz w:val="22"/>
          <w:szCs w:val="22"/>
        </w:rPr>
        <w:t>elo, i obuhvatiti aktivnosti koje je potrebno sprovesti u okviru drugih resora.</w:t>
      </w:r>
    </w:p>
    <w:p w:rsidR="00A936CB" w:rsidRPr="00C00F2A" w:rsidRDefault="00A936CB" w:rsidP="00797DF8">
      <w:pPr>
        <w:pStyle w:val="ListParagraph"/>
        <w:jc w:val="both"/>
        <w:rPr>
          <w:b/>
          <w:sz w:val="22"/>
          <w:szCs w:val="22"/>
        </w:rPr>
      </w:pPr>
    </w:p>
    <w:p w:rsidR="00FD2570" w:rsidRPr="00C00F2A" w:rsidRDefault="00FD2570" w:rsidP="00797DF8">
      <w:pPr>
        <w:pStyle w:val="ListParagraph"/>
        <w:numPr>
          <w:ilvl w:val="0"/>
          <w:numId w:val="26"/>
        </w:numPr>
        <w:spacing w:before="0"/>
        <w:jc w:val="both"/>
        <w:rPr>
          <w:sz w:val="22"/>
          <w:szCs w:val="22"/>
        </w:rPr>
      </w:pPr>
      <w:r w:rsidRPr="00C00F2A">
        <w:rPr>
          <w:b/>
          <w:sz w:val="22"/>
          <w:szCs w:val="22"/>
        </w:rPr>
        <w:t>Delegirati proces upravljanja ili uspostaviti novo t</w:t>
      </w:r>
      <w:r w:rsidR="00431C73" w:rsidRPr="00C00F2A">
        <w:rPr>
          <w:b/>
          <w:sz w:val="22"/>
          <w:szCs w:val="22"/>
        </w:rPr>
        <w:t>ij</w:t>
      </w:r>
      <w:r w:rsidRPr="00C00F2A">
        <w:rPr>
          <w:b/>
          <w:sz w:val="22"/>
          <w:szCs w:val="22"/>
        </w:rPr>
        <w:t xml:space="preserve">elo koje će koordinirati procesom deinstitucionalizacije. </w:t>
      </w:r>
      <w:r w:rsidRPr="00C00F2A">
        <w:rPr>
          <w:sz w:val="22"/>
          <w:szCs w:val="22"/>
        </w:rPr>
        <w:t>T</w:t>
      </w:r>
      <w:r w:rsidR="00431C73" w:rsidRPr="00C00F2A">
        <w:rPr>
          <w:sz w:val="22"/>
          <w:szCs w:val="22"/>
        </w:rPr>
        <w:t>ij</w:t>
      </w:r>
      <w:r w:rsidRPr="00C00F2A">
        <w:rPr>
          <w:sz w:val="22"/>
          <w:szCs w:val="22"/>
        </w:rPr>
        <w:t>elo za koordinaciju mora biti nadministarsko s obzirom na složenost procesa i neophodnost uključivanja različitih resora u različitim fazama procesa. Koordinacija mora da se odvija na dva nivoa – vertikalno (između upravnih organa na nacionalnom, regionalnom i lokalnom nivou) i horizontalno (između različitih resora tj. ministarstava na nacionalnom nivou, a na lokalnom nivou između njihovih ogranaka – sektora lokalnih samouprava za obrazovanja, socijalnu i zdravstvenu zaštitu, finasije te pravosudnih i drugih organa). Ovd</w:t>
      </w:r>
      <w:r w:rsidR="00431C73" w:rsidRPr="00C00F2A">
        <w:rPr>
          <w:sz w:val="22"/>
          <w:szCs w:val="22"/>
        </w:rPr>
        <w:t>j</w:t>
      </w:r>
      <w:r w:rsidRPr="00C00F2A">
        <w:rPr>
          <w:sz w:val="22"/>
          <w:szCs w:val="22"/>
        </w:rPr>
        <w:t>e je moguće iskoristiti prim</w:t>
      </w:r>
      <w:r w:rsidR="00431C73" w:rsidRPr="00C00F2A">
        <w:rPr>
          <w:sz w:val="22"/>
          <w:szCs w:val="22"/>
        </w:rPr>
        <w:t>j</w:t>
      </w:r>
      <w:r w:rsidRPr="00C00F2A">
        <w:rPr>
          <w:sz w:val="22"/>
          <w:szCs w:val="22"/>
        </w:rPr>
        <w:t xml:space="preserve">er </w:t>
      </w:r>
      <w:r w:rsidR="00FA7B2C" w:rsidRPr="00C00F2A">
        <w:rPr>
          <w:sz w:val="22"/>
          <w:szCs w:val="22"/>
        </w:rPr>
        <w:t>Francuske i Mađarske</w:t>
      </w:r>
      <w:r w:rsidRPr="00C00F2A">
        <w:rPr>
          <w:sz w:val="22"/>
          <w:szCs w:val="22"/>
        </w:rPr>
        <w:t>.</w:t>
      </w:r>
    </w:p>
    <w:p w:rsidR="00A936CB" w:rsidRPr="00C00F2A" w:rsidRDefault="00A936CB" w:rsidP="00797DF8">
      <w:pPr>
        <w:pStyle w:val="ListParagraph"/>
        <w:spacing w:before="0"/>
        <w:jc w:val="both"/>
        <w:rPr>
          <w:sz w:val="22"/>
          <w:szCs w:val="22"/>
        </w:rPr>
      </w:pPr>
    </w:p>
    <w:p w:rsidR="00FD2570" w:rsidRPr="00C00F2A" w:rsidRDefault="00FD2570" w:rsidP="00797DF8">
      <w:pPr>
        <w:pStyle w:val="ListParagraph"/>
        <w:numPr>
          <w:ilvl w:val="0"/>
          <w:numId w:val="26"/>
        </w:numPr>
        <w:spacing w:before="0"/>
        <w:jc w:val="both"/>
        <w:rPr>
          <w:sz w:val="22"/>
          <w:szCs w:val="22"/>
        </w:rPr>
      </w:pPr>
      <w:r w:rsidRPr="00C00F2A">
        <w:rPr>
          <w:b/>
          <w:sz w:val="22"/>
          <w:szCs w:val="22"/>
        </w:rPr>
        <w:t>Izraditi plan tranformacije psihijatrijske bolnice u Dobroti.</w:t>
      </w:r>
      <w:r w:rsidRPr="00C00F2A">
        <w:rPr>
          <w:sz w:val="22"/>
          <w:szCs w:val="22"/>
        </w:rPr>
        <w:t xml:space="preserve"> Prioritetna pitanja koja se tiču bolnice su:</w:t>
      </w:r>
    </w:p>
    <w:p w:rsidR="00A936CB" w:rsidRPr="00C00F2A" w:rsidRDefault="00A936CB" w:rsidP="00797DF8">
      <w:pPr>
        <w:pStyle w:val="ListParagraph"/>
        <w:spacing w:before="0"/>
        <w:jc w:val="both"/>
        <w:rPr>
          <w:sz w:val="22"/>
          <w:szCs w:val="22"/>
        </w:rPr>
      </w:pPr>
    </w:p>
    <w:p w:rsidR="00FD2570" w:rsidRPr="00C00F2A" w:rsidRDefault="00FD2570" w:rsidP="00797DF8">
      <w:pPr>
        <w:pStyle w:val="ListParagraph"/>
        <w:numPr>
          <w:ilvl w:val="1"/>
          <w:numId w:val="26"/>
        </w:numPr>
        <w:spacing w:before="0"/>
        <w:jc w:val="both"/>
        <w:rPr>
          <w:sz w:val="22"/>
          <w:szCs w:val="22"/>
        </w:rPr>
      </w:pPr>
      <w:r w:rsidRPr="00C00F2A">
        <w:rPr>
          <w:b/>
          <w:i/>
          <w:sz w:val="22"/>
          <w:szCs w:val="22"/>
        </w:rPr>
        <w:t>Nalaženje r</w:t>
      </w:r>
      <w:r w:rsidR="00431C73" w:rsidRPr="00C00F2A">
        <w:rPr>
          <w:b/>
          <w:i/>
          <w:sz w:val="22"/>
          <w:szCs w:val="22"/>
        </w:rPr>
        <w:t>j</w:t>
      </w:r>
      <w:r w:rsidRPr="00C00F2A">
        <w:rPr>
          <w:b/>
          <w:i/>
          <w:sz w:val="22"/>
          <w:szCs w:val="22"/>
        </w:rPr>
        <w:t>ešenja za osobe sm</w:t>
      </w:r>
      <w:r w:rsidR="00431C73" w:rsidRPr="00C00F2A">
        <w:rPr>
          <w:b/>
          <w:i/>
          <w:sz w:val="22"/>
          <w:szCs w:val="22"/>
        </w:rPr>
        <w:t>j</w:t>
      </w:r>
      <w:r w:rsidRPr="00C00F2A">
        <w:rPr>
          <w:b/>
          <w:i/>
          <w:sz w:val="22"/>
          <w:szCs w:val="22"/>
        </w:rPr>
        <w:t>eštene na hroničnim od</w:t>
      </w:r>
      <w:r w:rsidR="00431C73" w:rsidRPr="00C00F2A">
        <w:rPr>
          <w:b/>
          <w:i/>
          <w:sz w:val="22"/>
          <w:szCs w:val="22"/>
        </w:rPr>
        <w:t>j</w:t>
      </w:r>
      <w:r w:rsidRPr="00C00F2A">
        <w:rPr>
          <w:b/>
          <w:i/>
          <w:sz w:val="22"/>
          <w:szCs w:val="22"/>
        </w:rPr>
        <w:t>eljenjima i od</w:t>
      </w:r>
      <w:r w:rsidR="00431C73" w:rsidRPr="00C00F2A">
        <w:rPr>
          <w:b/>
          <w:i/>
          <w:sz w:val="22"/>
          <w:szCs w:val="22"/>
        </w:rPr>
        <w:t>j</w:t>
      </w:r>
      <w:r w:rsidRPr="00C00F2A">
        <w:rPr>
          <w:b/>
          <w:i/>
          <w:sz w:val="22"/>
          <w:szCs w:val="22"/>
        </w:rPr>
        <w:t>eljenju za produženu terapiju</w:t>
      </w:r>
      <w:r w:rsidRPr="00C00F2A">
        <w:rPr>
          <w:sz w:val="22"/>
          <w:szCs w:val="22"/>
        </w:rPr>
        <w:t>. S obzirom da su problemi ovih osoba pretežno socijalne prirode</w:t>
      </w:r>
      <w:r w:rsidR="000510B9" w:rsidRPr="00C00F2A">
        <w:rPr>
          <w:sz w:val="22"/>
          <w:szCs w:val="22"/>
        </w:rPr>
        <w:t>,</w:t>
      </w:r>
      <w:r w:rsidRPr="00C00F2A">
        <w:rPr>
          <w:sz w:val="22"/>
          <w:szCs w:val="22"/>
        </w:rPr>
        <w:t xml:space="preserve"> potrebno je mapirati njihove socijalne potrebe i mogućnosti za njihovo stanovanje u zajednici. S obzirom na preplitanje resora u finansiranju brige o ovim osobama</w:t>
      </w:r>
      <w:r w:rsidR="000510B9" w:rsidRPr="00C00F2A">
        <w:rPr>
          <w:sz w:val="22"/>
          <w:szCs w:val="22"/>
        </w:rPr>
        <w:t>,</w:t>
      </w:r>
      <w:r w:rsidRPr="00C00F2A">
        <w:rPr>
          <w:sz w:val="22"/>
          <w:szCs w:val="22"/>
        </w:rPr>
        <w:t xml:space="preserve"> predlažemo korišćenje modela iz Španije </w:t>
      </w:r>
      <w:r w:rsidR="00FA3D8D" w:rsidRPr="00C00F2A">
        <w:rPr>
          <w:sz w:val="22"/>
          <w:szCs w:val="22"/>
        </w:rPr>
        <w:t>(</w:t>
      </w:r>
      <w:r w:rsidRPr="00C00F2A">
        <w:rPr>
          <w:i/>
          <w:sz w:val="22"/>
          <w:szCs w:val="22"/>
        </w:rPr>
        <w:t xml:space="preserve">u smislu formiranja </w:t>
      </w:r>
      <w:r w:rsidR="00BC5759" w:rsidRPr="00C00F2A">
        <w:rPr>
          <w:i/>
          <w:sz w:val="22"/>
          <w:szCs w:val="22"/>
        </w:rPr>
        <w:t>javne (državne) fondacije koju su podjednako finansirala četiri drža</w:t>
      </w:r>
      <w:r w:rsidR="000510B9" w:rsidRPr="00C00F2A">
        <w:rPr>
          <w:i/>
          <w:sz w:val="22"/>
          <w:szCs w:val="22"/>
        </w:rPr>
        <w:t>vna resora najrelevatnija za pru</w:t>
      </w:r>
      <w:r w:rsidR="00BC5759" w:rsidRPr="00C00F2A">
        <w:rPr>
          <w:i/>
          <w:sz w:val="22"/>
          <w:szCs w:val="22"/>
        </w:rPr>
        <w:t>žanje podrške mentalno obol</w:t>
      </w:r>
      <w:r w:rsidR="000510B9" w:rsidRPr="00C00F2A">
        <w:rPr>
          <w:i/>
          <w:sz w:val="22"/>
          <w:szCs w:val="22"/>
        </w:rPr>
        <w:t>j</w:t>
      </w:r>
      <w:r w:rsidR="00BC5759" w:rsidRPr="00C00F2A">
        <w:rPr>
          <w:i/>
          <w:sz w:val="22"/>
          <w:szCs w:val="22"/>
        </w:rPr>
        <w:t>elim osobama (zdravstvo, socijalna zaštita, zapošljavanje i tehnološki razvoj i ekonomija i finansije</w:t>
      </w:r>
      <w:r w:rsidR="00FA3D8D" w:rsidRPr="00C00F2A">
        <w:rPr>
          <w:sz w:val="22"/>
          <w:szCs w:val="22"/>
        </w:rPr>
        <w:t xml:space="preserve">; </w:t>
      </w:r>
      <w:r w:rsidR="00FA3D8D" w:rsidRPr="00C00F2A">
        <w:rPr>
          <w:i/>
          <w:sz w:val="22"/>
          <w:szCs w:val="22"/>
        </w:rPr>
        <w:t>tome se naknadno priključio i sektor obrazovanja</w:t>
      </w:r>
      <w:r w:rsidR="00FA3D8D" w:rsidRPr="00C00F2A">
        <w:rPr>
          <w:sz w:val="22"/>
          <w:szCs w:val="22"/>
        </w:rPr>
        <w:t>), kao i iskustvo iz Francuske (</w:t>
      </w:r>
      <w:r w:rsidR="00FA3D8D" w:rsidRPr="00C00F2A">
        <w:rPr>
          <w:i/>
          <w:sz w:val="22"/>
          <w:szCs w:val="22"/>
        </w:rPr>
        <w:t>gd</w:t>
      </w:r>
      <w:r w:rsidR="000510B9" w:rsidRPr="00C00F2A">
        <w:rPr>
          <w:i/>
          <w:sz w:val="22"/>
          <w:szCs w:val="22"/>
        </w:rPr>
        <w:t>j</w:t>
      </w:r>
      <w:r w:rsidR="00FA3D8D" w:rsidRPr="00C00F2A">
        <w:rPr>
          <w:i/>
          <w:sz w:val="22"/>
          <w:szCs w:val="22"/>
        </w:rPr>
        <w:t>e su, na samom početku, kreirani medicinsko-psihološki centar i centar za stanovanje i deinstitucionalizaciju, specijalizovani za rehabilitaciju hroničnih, dugotrajno institucionalizovanih pacijenata</w:t>
      </w:r>
      <w:r w:rsidR="000510B9" w:rsidRPr="00C00F2A">
        <w:rPr>
          <w:i/>
          <w:sz w:val="22"/>
          <w:szCs w:val="22"/>
        </w:rPr>
        <w:t xml:space="preserve">; </w:t>
      </w:r>
      <w:r w:rsidR="00FA3D8D" w:rsidRPr="00C00F2A">
        <w:rPr>
          <w:i/>
          <w:sz w:val="22"/>
          <w:szCs w:val="22"/>
        </w:rPr>
        <w:t>nakon toga, inicirana je saradnja sa lokalnim samoupravama i konakti sa upraviteljima socijalnih stanova radi uspostavljanja zajedničkih i „terapeutskih“ stanova, a zatim i radi pristupa podršci i stambenim jedinicama raspoređenim svuda u zajednici</w:t>
      </w:r>
      <w:r w:rsidR="00FA3D8D" w:rsidRPr="00C00F2A">
        <w:rPr>
          <w:sz w:val="22"/>
          <w:szCs w:val="22"/>
        </w:rPr>
        <w:t>).</w:t>
      </w:r>
    </w:p>
    <w:p w:rsidR="00A936CB" w:rsidRPr="00C00F2A" w:rsidRDefault="00A936CB" w:rsidP="00797DF8">
      <w:pPr>
        <w:pStyle w:val="ListParagraph"/>
        <w:spacing w:before="0"/>
        <w:ind w:left="1440"/>
        <w:jc w:val="both"/>
        <w:rPr>
          <w:sz w:val="22"/>
          <w:szCs w:val="22"/>
        </w:rPr>
      </w:pPr>
    </w:p>
    <w:p w:rsidR="00A936CB" w:rsidRPr="00C00F2A" w:rsidRDefault="00FD2570" w:rsidP="00797DF8">
      <w:pPr>
        <w:pStyle w:val="ListParagraph"/>
        <w:numPr>
          <w:ilvl w:val="1"/>
          <w:numId w:val="26"/>
        </w:numPr>
        <w:spacing w:before="0"/>
        <w:jc w:val="both"/>
        <w:rPr>
          <w:sz w:val="22"/>
          <w:szCs w:val="22"/>
        </w:rPr>
      </w:pPr>
      <w:r w:rsidRPr="00C00F2A">
        <w:rPr>
          <w:b/>
          <w:i/>
          <w:sz w:val="22"/>
          <w:szCs w:val="22"/>
        </w:rPr>
        <w:t>Gašenje sudskog od</w:t>
      </w:r>
      <w:r w:rsidR="000510B9" w:rsidRPr="00C00F2A">
        <w:rPr>
          <w:b/>
          <w:i/>
          <w:sz w:val="22"/>
          <w:szCs w:val="22"/>
        </w:rPr>
        <w:t>j</w:t>
      </w:r>
      <w:r w:rsidRPr="00C00F2A">
        <w:rPr>
          <w:b/>
          <w:i/>
          <w:sz w:val="22"/>
          <w:szCs w:val="22"/>
        </w:rPr>
        <w:t>eljenja</w:t>
      </w:r>
      <w:r w:rsidRPr="00C00F2A">
        <w:rPr>
          <w:sz w:val="22"/>
          <w:szCs w:val="22"/>
        </w:rPr>
        <w:t xml:space="preserve"> i uključivanje pravosuđa u osnivanje posebnog objekta za izdržavanje m</w:t>
      </w:r>
      <w:r w:rsidR="000510B9" w:rsidRPr="00C00F2A">
        <w:rPr>
          <w:sz w:val="22"/>
          <w:szCs w:val="22"/>
        </w:rPr>
        <w:t>j</w:t>
      </w:r>
      <w:r w:rsidRPr="00C00F2A">
        <w:rPr>
          <w:sz w:val="22"/>
          <w:szCs w:val="22"/>
        </w:rPr>
        <w:t>ere obaveznog l</w:t>
      </w:r>
      <w:r w:rsidR="000510B9" w:rsidRPr="00C00F2A">
        <w:rPr>
          <w:sz w:val="22"/>
          <w:szCs w:val="22"/>
        </w:rPr>
        <w:t>ij</w:t>
      </w:r>
      <w:r w:rsidRPr="00C00F2A">
        <w:rPr>
          <w:sz w:val="22"/>
          <w:szCs w:val="22"/>
        </w:rPr>
        <w:t>ečenja, koji može biti u sklopu zavoda za izvršenje krivičnih sankcija. Za r</w:t>
      </w:r>
      <w:r w:rsidR="000510B9" w:rsidRPr="00C00F2A">
        <w:rPr>
          <w:sz w:val="22"/>
          <w:szCs w:val="22"/>
        </w:rPr>
        <w:t>j</w:t>
      </w:r>
      <w:r w:rsidRPr="00C00F2A">
        <w:rPr>
          <w:sz w:val="22"/>
          <w:szCs w:val="22"/>
        </w:rPr>
        <w:t>ešavanje ovog pitanja moguće je konsultovati odgovarajuće</w:t>
      </w:r>
      <w:r w:rsidR="00695967" w:rsidRPr="00C00F2A">
        <w:rPr>
          <w:sz w:val="22"/>
          <w:szCs w:val="22"/>
        </w:rPr>
        <w:t xml:space="preserve"> </w:t>
      </w:r>
      <w:r w:rsidRPr="00C00F2A">
        <w:rPr>
          <w:sz w:val="22"/>
          <w:szCs w:val="22"/>
        </w:rPr>
        <w:t>institucije u Srbiji, uključujući Zaštitnika građana i od</w:t>
      </w:r>
      <w:r w:rsidR="000510B9" w:rsidRPr="00C00F2A">
        <w:rPr>
          <w:sz w:val="22"/>
          <w:szCs w:val="22"/>
        </w:rPr>
        <w:t>j</w:t>
      </w:r>
      <w:r w:rsidRPr="00C00F2A">
        <w:rPr>
          <w:sz w:val="22"/>
          <w:szCs w:val="22"/>
        </w:rPr>
        <w:t>eljenje njegove stručne službe za zaštitu prava lica lišenih slobode</w:t>
      </w:r>
      <w:r w:rsidR="00695967" w:rsidRPr="00C00F2A">
        <w:rPr>
          <w:sz w:val="22"/>
          <w:szCs w:val="22"/>
        </w:rPr>
        <w:t>, kao i Organizaciju za evropsku bezb</w:t>
      </w:r>
      <w:r w:rsidR="006F315B" w:rsidRPr="00C00F2A">
        <w:rPr>
          <w:sz w:val="22"/>
          <w:szCs w:val="22"/>
        </w:rPr>
        <w:t>j</w:t>
      </w:r>
      <w:r w:rsidR="00695967" w:rsidRPr="00C00F2A">
        <w:rPr>
          <w:sz w:val="22"/>
          <w:szCs w:val="22"/>
        </w:rPr>
        <w:t>ednost i saradnju koja već nekoliko godina unazad radi na unapređenju stanja u ovoj oblasti</w:t>
      </w:r>
      <w:r w:rsidRPr="00C00F2A">
        <w:rPr>
          <w:sz w:val="22"/>
          <w:szCs w:val="22"/>
        </w:rPr>
        <w:t>.</w:t>
      </w:r>
    </w:p>
    <w:p w:rsidR="00A936CB" w:rsidRPr="00C00F2A" w:rsidRDefault="00A936CB" w:rsidP="00797DF8">
      <w:pPr>
        <w:pStyle w:val="ListParagraph"/>
        <w:spacing w:before="0"/>
        <w:ind w:left="1440"/>
        <w:jc w:val="both"/>
        <w:rPr>
          <w:sz w:val="22"/>
          <w:szCs w:val="22"/>
        </w:rPr>
      </w:pPr>
    </w:p>
    <w:p w:rsidR="00A936CB" w:rsidRPr="00C00F2A" w:rsidRDefault="00FD2570" w:rsidP="00797DF8">
      <w:pPr>
        <w:pStyle w:val="ListParagraph"/>
        <w:numPr>
          <w:ilvl w:val="1"/>
          <w:numId w:val="26"/>
        </w:numPr>
        <w:spacing w:before="0"/>
        <w:jc w:val="both"/>
        <w:rPr>
          <w:sz w:val="22"/>
          <w:szCs w:val="22"/>
        </w:rPr>
      </w:pPr>
      <w:r w:rsidRPr="00C00F2A">
        <w:rPr>
          <w:b/>
          <w:i/>
          <w:sz w:val="22"/>
          <w:szCs w:val="22"/>
        </w:rPr>
        <w:t>Edukacija zaposlenih</w:t>
      </w:r>
      <w:r w:rsidRPr="00C00F2A">
        <w:rPr>
          <w:sz w:val="22"/>
          <w:szCs w:val="22"/>
        </w:rPr>
        <w:t xml:space="preserve"> koji bi trebalo da pružaju podršku osobama sa </w:t>
      </w:r>
      <w:r w:rsidR="006F315B" w:rsidRPr="00C00F2A">
        <w:rPr>
          <w:sz w:val="22"/>
          <w:szCs w:val="22"/>
        </w:rPr>
        <w:t>problemima mentalnog zdravlja u</w:t>
      </w:r>
      <w:r w:rsidRPr="00C00F2A">
        <w:rPr>
          <w:sz w:val="22"/>
          <w:szCs w:val="22"/>
        </w:rPr>
        <w:t xml:space="preserve"> zajednici. Ujedno, zaposleni ove bolnice predstavljaju značajan resurs za pružanje podrške drugim zdravstvenim radnicima koji nemaju puno iskustva sa osobama sa težim mentalnim </w:t>
      </w:r>
      <w:r w:rsidR="006800C8" w:rsidRPr="00C00F2A">
        <w:rPr>
          <w:sz w:val="22"/>
          <w:szCs w:val="22"/>
        </w:rPr>
        <w:t>smetnjama</w:t>
      </w:r>
      <w:r w:rsidRPr="00C00F2A">
        <w:rPr>
          <w:sz w:val="22"/>
          <w:szCs w:val="22"/>
        </w:rPr>
        <w:t>.</w:t>
      </w:r>
    </w:p>
    <w:p w:rsidR="00A936CB" w:rsidRPr="00C00F2A" w:rsidRDefault="00A936CB" w:rsidP="00797DF8">
      <w:pPr>
        <w:pStyle w:val="ListParagraph"/>
        <w:spacing w:before="0"/>
        <w:ind w:left="1440"/>
        <w:jc w:val="both"/>
        <w:rPr>
          <w:sz w:val="22"/>
          <w:szCs w:val="22"/>
        </w:rPr>
      </w:pPr>
    </w:p>
    <w:p w:rsidR="00FD2570" w:rsidRPr="00C00F2A" w:rsidRDefault="00FD2570" w:rsidP="00797DF8">
      <w:pPr>
        <w:pStyle w:val="ListParagraph"/>
        <w:numPr>
          <w:ilvl w:val="1"/>
          <w:numId w:val="26"/>
        </w:numPr>
        <w:spacing w:before="0"/>
        <w:jc w:val="both"/>
        <w:rPr>
          <w:sz w:val="22"/>
          <w:szCs w:val="22"/>
        </w:rPr>
      </w:pPr>
      <w:r w:rsidRPr="00C00F2A">
        <w:rPr>
          <w:b/>
          <w:i/>
          <w:sz w:val="22"/>
          <w:szCs w:val="22"/>
        </w:rPr>
        <w:t>Akutna od</w:t>
      </w:r>
      <w:r w:rsidR="006F315B" w:rsidRPr="00C00F2A">
        <w:rPr>
          <w:b/>
          <w:i/>
          <w:sz w:val="22"/>
          <w:szCs w:val="22"/>
        </w:rPr>
        <w:t>j</w:t>
      </w:r>
      <w:r w:rsidRPr="00C00F2A">
        <w:rPr>
          <w:b/>
          <w:i/>
          <w:sz w:val="22"/>
          <w:szCs w:val="22"/>
        </w:rPr>
        <w:t>eljenja je potrebno zadržati</w:t>
      </w:r>
      <w:r w:rsidR="006F315B" w:rsidRPr="00C00F2A">
        <w:rPr>
          <w:b/>
          <w:i/>
          <w:sz w:val="22"/>
          <w:szCs w:val="22"/>
        </w:rPr>
        <w:t>,</w:t>
      </w:r>
      <w:r w:rsidRPr="00C00F2A">
        <w:rPr>
          <w:b/>
          <w:i/>
          <w:sz w:val="22"/>
          <w:szCs w:val="22"/>
        </w:rPr>
        <w:t xml:space="preserve"> dok se ne formiraju psihijatrijska od</w:t>
      </w:r>
      <w:r w:rsidR="006F315B" w:rsidRPr="00C00F2A">
        <w:rPr>
          <w:b/>
          <w:i/>
          <w:sz w:val="22"/>
          <w:szCs w:val="22"/>
        </w:rPr>
        <w:t>j</w:t>
      </w:r>
      <w:r w:rsidRPr="00C00F2A">
        <w:rPr>
          <w:b/>
          <w:i/>
          <w:sz w:val="22"/>
          <w:szCs w:val="22"/>
        </w:rPr>
        <w:t>eljenja ili jedi</w:t>
      </w:r>
      <w:r w:rsidR="00A936CB" w:rsidRPr="00C00F2A">
        <w:rPr>
          <w:b/>
          <w:i/>
          <w:sz w:val="22"/>
          <w:szCs w:val="22"/>
        </w:rPr>
        <w:t>nice za bolničko l</w:t>
      </w:r>
      <w:r w:rsidR="006F315B" w:rsidRPr="00C00F2A">
        <w:rPr>
          <w:b/>
          <w:i/>
          <w:sz w:val="22"/>
          <w:szCs w:val="22"/>
        </w:rPr>
        <w:t>ij</w:t>
      </w:r>
      <w:r w:rsidR="00A936CB" w:rsidRPr="00C00F2A">
        <w:rPr>
          <w:b/>
          <w:i/>
          <w:sz w:val="22"/>
          <w:szCs w:val="22"/>
        </w:rPr>
        <w:t xml:space="preserve">ečenje malog </w:t>
      </w:r>
      <w:r w:rsidRPr="00C00F2A">
        <w:rPr>
          <w:b/>
          <w:i/>
          <w:sz w:val="22"/>
          <w:szCs w:val="22"/>
        </w:rPr>
        <w:t>kapaciteta</w:t>
      </w:r>
      <w:r w:rsidRPr="00C00F2A">
        <w:rPr>
          <w:sz w:val="22"/>
          <w:szCs w:val="22"/>
        </w:rPr>
        <w:t xml:space="preserve"> pri lokalnim opštim bolnicama, za šta se mogu iskoristiti iskustva iz Italije.</w:t>
      </w:r>
    </w:p>
    <w:p w:rsidR="00B66543" w:rsidRPr="00C00F2A" w:rsidRDefault="00B66543" w:rsidP="00797DF8">
      <w:pPr>
        <w:pStyle w:val="ListParagraph"/>
        <w:spacing w:before="0"/>
        <w:jc w:val="both"/>
        <w:rPr>
          <w:b/>
          <w:sz w:val="22"/>
          <w:szCs w:val="22"/>
        </w:rPr>
      </w:pPr>
    </w:p>
    <w:p w:rsidR="002C3DE0" w:rsidRPr="00325103" w:rsidRDefault="00FD2570" w:rsidP="00325103">
      <w:pPr>
        <w:pStyle w:val="ListParagraph"/>
        <w:numPr>
          <w:ilvl w:val="0"/>
          <w:numId w:val="26"/>
        </w:numPr>
        <w:spacing w:before="0"/>
        <w:jc w:val="both"/>
        <w:rPr>
          <w:sz w:val="22"/>
          <w:szCs w:val="22"/>
        </w:rPr>
      </w:pPr>
      <w:r w:rsidRPr="00C00F2A">
        <w:rPr>
          <w:b/>
          <w:sz w:val="22"/>
          <w:szCs w:val="22"/>
        </w:rPr>
        <w:t xml:space="preserve">Ojačati kapacitete lokalnih centara za mentalno zdravlje. </w:t>
      </w:r>
      <w:r w:rsidRPr="00C00F2A">
        <w:rPr>
          <w:sz w:val="22"/>
          <w:szCs w:val="22"/>
        </w:rPr>
        <w:t>Timovi centara za mentalno zdravlje moraju biti interdisciplinarni i obučeni za pružanje podrške osobama u krizi, uključujući osobe sa ozb</w:t>
      </w:r>
      <w:r w:rsidR="006F315B" w:rsidRPr="00C00F2A">
        <w:rPr>
          <w:sz w:val="22"/>
          <w:szCs w:val="22"/>
        </w:rPr>
        <w:t>i</w:t>
      </w:r>
      <w:r w:rsidRPr="00C00F2A">
        <w:rPr>
          <w:sz w:val="22"/>
          <w:szCs w:val="22"/>
        </w:rPr>
        <w:t xml:space="preserve">ljnim psihičkim smetnjama. </w:t>
      </w:r>
      <w:r w:rsidR="0044004F" w:rsidRPr="00C00F2A">
        <w:rPr>
          <w:sz w:val="22"/>
          <w:szCs w:val="22"/>
        </w:rPr>
        <w:t>Ovo je značajno kako za prevenciju hospitalizacije</w:t>
      </w:r>
      <w:r w:rsidR="006F315B" w:rsidRPr="00C00F2A">
        <w:rPr>
          <w:sz w:val="22"/>
          <w:szCs w:val="22"/>
        </w:rPr>
        <w:t>,</w:t>
      </w:r>
      <w:r w:rsidR="0044004F" w:rsidRPr="00C00F2A">
        <w:rPr>
          <w:sz w:val="22"/>
          <w:szCs w:val="22"/>
        </w:rPr>
        <w:t xml:space="preserve"> tako i za praćenje pacijenata kako bi se pravovremeno reagovalo na pogoršanja i spr</w:t>
      </w:r>
      <w:r w:rsidR="001D0B01" w:rsidRPr="00C00F2A">
        <w:rPr>
          <w:sz w:val="22"/>
          <w:szCs w:val="22"/>
        </w:rPr>
        <w:t>ij</w:t>
      </w:r>
      <w:r w:rsidR="0044004F" w:rsidRPr="00C00F2A">
        <w:rPr>
          <w:sz w:val="22"/>
          <w:szCs w:val="22"/>
        </w:rPr>
        <w:t>ečila ponovna hospitalizacija.</w:t>
      </w:r>
      <w:r w:rsidR="00F67406">
        <w:rPr>
          <w:sz w:val="22"/>
          <w:szCs w:val="22"/>
        </w:rPr>
        <w:t xml:space="preserve"> </w:t>
      </w:r>
      <w:r w:rsidRPr="00325103">
        <w:rPr>
          <w:sz w:val="22"/>
          <w:szCs w:val="22"/>
        </w:rPr>
        <w:t xml:space="preserve">Usluge </w:t>
      </w:r>
      <w:r w:rsidR="0044004F" w:rsidRPr="00325103">
        <w:rPr>
          <w:sz w:val="22"/>
          <w:szCs w:val="22"/>
        </w:rPr>
        <w:t>c</w:t>
      </w:r>
      <w:r w:rsidRPr="00325103">
        <w:rPr>
          <w:sz w:val="22"/>
          <w:szCs w:val="22"/>
        </w:rPr>
        <w:t>entara za mentalno zdravlje u zajednic</w:t>
      </w:r>
      <w:r w:rsidR="00A936CB" w:rsidRPr="00325103">
        <w:rPr>
          <w:sz w:val="22"/>
          <w:szCs w:val="22"/>
        </w:rPr>
        <w:t>i treba proširiti</w:t>
      </w:r>
      <w:r w:rsidRPr="00325103">
        <w:rPr>
          <w:sz w:val="22"/>
          <w:szCs w:val="22"/>
        </w:rPr>
        <w:t xml:space="preserve"> sa is</w:t>
      </w:r>
      <w:r w:rsidR="001D0B01" w:rsidRPr="00325103">
        <w:rPr>
          <w:sz w:val="22"/>
          <w:szCs w:val="22"/>
        </w:rPr>
        <w:t>k</w:t>
      </w:r>
      <w:r w:rsidRPr="00325103">
        <w:rPr>
          <w:sz w:val="22"/>
          <w:szCs w:val="22"/>
        </w:rPr>
        <w:t>ljučivo ambulantnog l</w:t>
      </w:r>
      <w:r w:rsidR="001D0B01" w:rsidRPr="00325103">
        <w:rPr>
          <w:sz w:val="22"/>
          <w:szCs w:val="22"/>
        </w:rPr>
        <w:t>ij</w:t>
      </w:r>
      <w:r w:rsidRPr="00325103">
        <w:rPr>
          <w:sz w:val="22"/>
          <w:szCs w:val="22"/>
        </w:rPr>
        <w:t>ečenja na terenski rad (tim za krizne situacije, praćenje pacijenata po izlasku iz bolnice</w:t>
      </w:r>
      <w:r w:rsidR="0044004F" w:rsidRPr="00325103">
        <w:rPr>
          <w:sz w:val="22"/>
          <w:szCs w:val="22"/>
        </w:rPr>
        <w:t xml:space="preserve"> (vid</w:t>
      </w:r>
      <w:r w:rsidR="00795021" w:rsidRPr="00325103">
        <w:rPr>
          <w:sz w:val="22"/>
          <w:szCs w:val="22"/>
        </w:rPr>
        <w:t>j</w:t>
      </w:r>
      <w:r w:rsidR="0044004F" w:rsidRPr="00325103">
        <w:rPr>
          <w:sz w:val="22"/>
          <w:szCs w:val="22"/>
        </w:rPr>
        <w:t>eti prim</w:t>
      </w:r>
      <w:r w:rsidR="001D0B01" w:rsidRPr="00325103">
        <w:rPr>
          <w:sz w:val="22"/>
          <w:szCs w:val="22"/>
        </w:rPr>
        <w:t>j</w:t>
      </w:r>
      <w:r w:rsidR="0044004F" w:rsidRPr="00325103">
        <w:rPr>
          <w:sz w:val="22"/>
          <w:szCs w:val="22"/>
        </w:rPr>
        <w:t>er Ujedinjenog kraljevstva)</w:t>
      </w:r>
      <w:r w:rsidRPr="00325103">
        <w:rPr>
          <w:sz w:val="22"/>
          <w:szCs w:val="22"/>
        </w:rPr>
        <w:t>. Centre za mentalno zdravlje u zajednici moguće je unapr</w:t>
      </w:r>
      <w:r w:rsidR="00CD7809" w:rsidRPr="00325103">
        <w:rPr>
          <w:sz w:val="22"/>
          <w:szCs w:val="22"/>
        </w:rPr>
        <w:t>ij</w:t>
      </w:r>
      <w:r w:rsidRPr="00325103">
        <w:rPr>
          <w:sz w:val="22"/>
          <w:szCs w:val="22"/>
        </w:rPr>
        <w:t>editi na osnovu iskustva u radu Centra za mentalno zdravlje u zajednici koji je funkcionisao u Opštini „Medijana“ u Nišu, predstavljenog u od</w:t>
      </w:r>
      <w:r w:rsidR="001D0B01" w:rsidRPr="00325103">
        <w:rPr>
          <w:sz w:val="22"/>
          <w:szCs w:val="22"/>
        </w:rPr>
        <w:t>j</w:t>
      </w:r>
      <w:r w:rsidRPr="00325103">
        <w:rPr>
          <w:sz w:val="22"/>
          <w:szCs w:val="22"/>
        </w:rPr>
        <w:t>eljku o Srbiji</w:t>
      </w:r>
      <w:r w:rsidR="006800C8" w:rsidRPr="00325103">
        <w:rPr>
          <w:sz w:val="22"/>
          <w:szCs w:val="22"/>
        </w:rPr>
        <w:t>, kao i dva novootvorena centra za mentalno zdravlje u zajednici u Kikindi i Vršcu</w:t>
      </w:r>
      <w:r w:rsidRPr="00325103">
        <w:rPr>
          <w:sz w:val="22"/>
          <w:szCs w:val="22"/>
        </w:rPr>
        <w:t>.</w:t>
      </w:r>
    </w:p>
    <w:p w:rsidR="00A936CB" w:rsidRPr="00C00F2A" w:rsidRDefault="00A936CB" w:rsidP="00797DF8">
      <w:pPr>
        <w:pStyle w:val="ListParagraph"/>
        <w:spacing w:before="0"/>
        <w:jc w:val="both"/>
        <w:rPr>
          <w:b/>
          <w:sz w:val="22"/>
          <w:szCs w:val="22"/>
        </w:rPr>
      </w:pPr>
    </w:p>
    <w:p w:rsidR="00FD2570" w:rsidRPr="00C00F2A" w:rsidRDefault="00FD2570" w:rsidP="00797DF8">
      <w:pPr>
        <w:pStyle w:val="ListParagraph"/>
        <w:numPr>
          <w:ilvl w:val="0"/>
          <w:numId w:val="26"/>
        </w:numPr>
        <w:spacing w:before="0"/>
        <w:jc w:val="both"/>
        <w:rPr>
          <w:sz w:val="22"/>
          <w:szCs w:val="22"/>
        </w:rPr>
      </w:pPr>
      <w:r w:rsidRPr="00C00F2A">
        <w:rPr>
          <w:b/>
          <w:sz w:val="22"/>
          <w:szCs w:val="22"/>
        </w:rPr>
        <w:t>Razvoj novih, inovativnih usluga koje se pružaju u zajednici, nam</w:t>
      </w:r>
      <w:r w:rsidR="001D0B01" w:rsidRPr="00C00F2A">
        <w:rPr>
          <w:b/>
          <w:sz w:val="22"/>
          <w:szCs w:val="22"/>
        </w:rPr>
        <w:t>ij</w:t>
      </w:r>
      <w:r w:rsidRPr="00C00F2A">
        <w:rPr>
          <w:b/>
          <w:sz w:val="22"/>
          <w:szCs w:val="22"/>
        </w:rPr>
        <w:t xml:space="preserve">enjenih osobama sa psihičkim smetnjama. </w:t>
      </w:r>
      <w:r w:rsidRPr="00C00F2A">
        <w:rPr>
          <w:sz w:val="22"/>
          <w:szCs w:val="22"/>
        </w:rPr>
        <w:t>Pružanje ovih usluga treba omogućiti i privatnim pravnim subjektima, organizacijama civilnog društva i postojećim državnim službama, poput centara za socijalni rad. Od posebnog značaj</w:t>
      </w:r>
      <w:r w:rsidR="00B66543" w:rsidRPr="00C00F2A">
        <w:rPr>
          <w:sz w:val="22"/>
          <w:szCs w:val="22"/>
        </w:rPr>
        <w:t>a</w:t>
      </w:r>
      <w:r w:rsidRPr="00C00F2A">
        <w:rPr>
          <w:sz w:val="22"/>
          <w:szCs w:val="22"/>
        </w:rPr>
        <w:t xml:space="preserve"> je uključivanje </w:t>
      </w:r>
      <w:r w:rsidR="001D0B01" w:rsidRPr="00C00F2A">
        <w:rPr>
          <w:sz w:val="22"/>
          <w:szCs w:val="22"/>
        </w:rPr>
        <w:t>udruženja korisnika u pružanje i</w:t>
      </w:r>
      <w:r w:rsidRPr="00C00F2A">
        <w:rPr>
          <w:sz w:val="22"/>
          <w:szCs w:val="22"/>
        </w:rPr>
        <w:t xml:space="preserve"> planiranje podrške. Za razvoj inovativniih usluga moguće je iskoristiti prikazane prim</w:t>
      </w:r>
      <w:r w:rsidR="001D0B01" w:rsidRPr="00C00F2A">
        <w:rPr>
          <w:sz w:val="22"/>
          <w:szCs w:val="22"/>
        </w:rPr>
        <w:t>j</w:t>
      </w:r>
      <w:r w:rsidRPr="00C00F2A">
        <w:rPr>
          <w:sz w:val="22"/>
          <w:szCs w:val="22"/>
        </w:rPr>
        <w:t>ere iz Bugarske, Grčke i Finske</w:t>
      </w:r>
      <w:r w:rsidR="00B66543" w:rsidRPr="00C00F2A">
        <w:rPr>
          <w:sz w:val="22"/>
          <w:szCs w:val="22"/>
        </w:rPr>
        <w:t>. Prim</w:t>
      </w:r>
      <w:r w:rsidR="001D0B01" w:rsidRPr="00C00F2A">
        <w:rPr>
          <w:sz w:val="22"/>
          <w:szCs w:val="22"/>
        </w:rPr>
        <w:t>j</w:t>
      </w:r>
      <w:r w:rsidR="00B66543" w:rsidRPr="00C00F2A">
        <w:rPr>
          <w:sz w:val="22"/>
          <w:szCs w:val="22"/>
        </w:rPr>
        <w:t>eri ovakvih usluga sadržani su u prikazu svih opisanih modela u ovom dokumentu.</w:t>
      </w:r>
    </w:p>
    <w:p w:rsidR="00A936CB" w:rsidRPr="00C00F2A" w:rsidRDefault="00A936CB" w:rsidP="00797DF8">
      <w:pPr>
        <w:pStyle w:val="ListParagraph"/>
        <w:spacing w:before="0"/>
        <w:jc w:val="both"/>
        <w:rPr>
          <w:sz w:val="22"/>
          <w:szCs w:val="22"/>
        </w:rPr>
      </w:pPr>
    </w:p>
    <w:p w:rsidR="00F67406" w:rsidRPr="00F67406" w:rsidRDefault="006E4ECC" w:rsidP="00F67406">
      <w:pPr>
        <w:pStyle w:val="ListParagraph"/>
        <w:numPr>
          <w:ilvl w:val="0"/>
          <w:numId w:val="26"/>
        </w:numPr>
        <w:spacing w:before="0"/>
        <w:jc w:val="both"/>
        <w:rPr>
          <w:sz w:val="22"/>
          <w:szCs w:val="22"/>
        </w:rPr>
      </w:pPr>
      <w:r w:rsidRPr="00C00F2A">
        <w:rPr>
          <w:b/>
          <w:sz w:val="22"/>
          <w:szCs w:val="22"/>
        </w:rPr>
        <w:t>Učiniti postojeće usluge</w:t>
      </w:r>
      <w:r w:rsidR="00C61C73" w:rsidRPr="00C00F2A">
        <w:rPr>
          <w:b/>
          <w:sz w:val="22"/>
          <w:szCs w:val="22"/>
        </w:rPr>
        <w:t xml:space="preserve"> nam</w:t>
      </w:r>
      <w:r w:rsidR="001D0B01" w:rsidRPr="00C00F2A">
        <w:rPr>
          <w:b/>
          <w:sz w:val="22"/>
          <w:szCs w:val="22"/>
        </w:rPr>
        <w:t>ij</w:t>
      </w:r>
      <w:r w:rsidR="00C61C73" w:rsidRPr="00C00F2A">
        <w:rPr>
          <w:b/>
          <w:sz w:val="22"/>
          <w:szCs w:val="22"/>
        </w:rPr>
        <w:t xml:space="preserve">enjene </w:t>
      </w:r>
      <w:r w:rsidR="007A2E47" w:rsidRPr="00C00F2A">
        <w:rPr>
          <w:b/>
          <w:sz w:val="22"/>
          <w:szCs w:val="22"/>
        </w:rPr>
        <w:t xml:space="preserve">opštem </w:t>
      </w:r>
      <w:r w:rsidR="00C61C73" w:rsidRPr="00C00F2A">
        <w:rPr>
          <w:b/>
          <w:sz w:val="22"/>
          <w:szCs w:val="22"/>
        </w:rPr>
        <w:t>stanovništvu dostupnim</w:t>
      </w:r>
      <w:r w:rsidRPr="00C00F2A">
        <w:rPr>
          <w:b/>
          <w:sz w:val="22"/>
          <w:szCs w:val="22"/>
        </w:rPr>
        <w:t xml:space="preserve"> osobama sa invaliditetom.</w:t>
      </w:r>
      <w:r w:rsidRPr="00C00F2A">
        <w:rPr>
          <w:sz w:val="22"/>
          <w:szCs w:val="22"/>
        </w:rPr>
        <w:t xml:space="preserve"> Obezb</w:t>
      </w:r>
      <w:r w:rsidR="001D0B01" w:rsidRPr="00C00F2A">
        <w:rPr>
          <w:sz w:val="22"/>
          <w:szCs w:val="22"/>
        </w:rPr>
        <w:t>j</w:t>
      </w:r>
      <w:r w:rsidRPr="00C00F2A">
        <w:rPr>
          <w:sz w:val="22"/>
          <w:szCs w:val="22"/>
        </w:rPr>
        <w:t xml:space="preserve">eđivanje inkluzivnih javnih usluga (obrazovanje, zdravstvo, profesionalno osposobljavanje i podrška u pronalaženju i održanju zaposlenja, prevoz itd.) je ključna komponenta za postizanje pune društvene uključenosti. </w:t>
      </w:r>
      <w:r w:rsidR="00EA6F12" w:rsidRPr="00C00F2A">
        <w:rPr>
          <w:sz w:val="22"/>
          <w:szCs w:val="22"/>
        </w:rPr>
        <w:t>Što su ove usluge inkluzivnije</w:t>
      </w:r>
      <w:r w:rsidR="001938AA" w:rsidRPr="00C00F2A">
        <w:rPr>
          <w:sz w:val="22"/>
          <w:szCs w:val="22"/>
        </w:rPr>
        <w:t>,</w:t>
      </w:r>
      <w:r w:rsidR="00EA6F12" w:rsidRPr="00C00F2A">
        <w:rPr>
          <w:sz w:val="22"/>
          <w:szCs w:val="22"/>
        </w:rPr>
        <w:t xml:space="preserve"> sve je manja potreba za razvojem specijalizovanih usluga koje se pružaju osobi, dok dobit od toga ima c</w:t>
      </w:r>
      <w:r w:rsidR="001938AA" w:rsidRPr="00C00F2A">
        <w:rPr>
          <w:sz w:val="22"/>
          <w:szCs w:val="22"/>
        </w:rPr>
        <w:t>ij</w:t>
      </w:r>
      <w:r w:rsidR="00EA6F12" w:rsidRPr="00C00F2A">
        <w:rPr>
          <w:sz w:val="22"/>
          <w:szCs w:val="22"/>
        </w:rPr>
        <w:t>elo društvo. Kritičko sagledavanje spektra postojećih usluga im pruža mogućnost da postanu inkluzvnije i da bolje odgovore na potrebe osoba sa invaliditetom, ali i svih drugih osoba iz opšte populacije.</w:t>
      </w:r>
      <w:r w:rsidR="007F600A" w:rsidRPr="00C00F2A">
        <w:rPr>
          <w:sz w:val="22"/>
          <w:szCs w:val="22"/>
        </w:rPr>
        <w:t xml:space="preserve"> </w:t>
      </w:r>
    </w:p>
    <w:p w:rsidR="00F67406" w:rsidRPr="00325103" w:rsidRDefault="00F67406" w:rsidP="00F67406">
      <w:pPr>
        <w:pStyle w:val="ListParagraph"/>
        <w:spacing w:before="0"/>
        <w:jc w:val="both"/>
        <w:rPr>
          <w:sz w:val="18"/>
          <w:szCs w:val="18"/>
        </w:rPr>
      </w:pPr>
    </w:p>
    <w:p w:rsidR="00A936CB" w:rsidRPr="00C00F2A" w:rsidRDefault="009803A8" w:rsidP="00797DF8">
      <w:pPr>
        <w:pStyle w:val="ListParagraph"/>
        <w:spacing w:before="0"/>
        <w:jc w:val="both"/>
        <w:rPr>
          <w:sz w:val="22"/>
          <w:szCs w:val="22"/>
        </w:rPr>
      </w:pPr>
      <w:r w:rsidRPr="00C00F2A">
        <w:rPr>
          <w:sz w:val="22"/>
          <w:szCs w:val="22"/>
        </w:rPr>
        <w:t>Na prim</w:t>
      </w:r>
      <w:r w:rsidR="001938AA" w:rsidRPr="00C00F2A">
        <w:rPr>
          <w:sz w:val="22"/>
          <w:szCs w:val="22"/>
        </w:rPr>
        <w:t>j</w:t>
      </w:r>
      <w:r w:rsidRPr="00C00F2A">
        <w:rPr>
          <w:sz w:val="22"/>
          <w:szCs w:val="22"/>
        </w:rPr>
        <w:t>er, obučavanje pružalaca primarne zdravstvene zaštite da tu uslugu pružaju osobama sa različitim vrstama invaliditeta (npr. trening svih l</w:t>
      </w:r>
      <w:r w:rsidR="001938AA" w:rsidRPr="00C00F2A">
        <w:rPr>
          <w:sz w:val="22"/>
          <w:szCs w:val="22"/>
        </w:rPr>
        <w:t>j</w:t>
      </w:r>
      <w:r w:rsidRPr="00C00F2A">
        <w:rPr>
          <w:sz w:val="22"/>
          <w:szCs w:val="22"/>
        </w:rPr>
        <w:t>ekara opšte prakse o tome kako da komuniciraju sa osobom sa intelektualnim smetnjama) smanjuje potrebu za kreiranje specijalizovane usluge za osobe sa invaliditetom. Ovakva praksa je istovremeno isplativija i smanjuje rizik od segregacije i pružanja usluga lošijeg kvaliteta u okviru specijalizovanih usluga</w:t>
      </w:r>
      <w:r w:rsidR="006E4ECC" w:rsidRPr="00C00F2A">
        <w:rPr>
          <w:sz w:val="22"/>
          <w:szCs w:val="22"/>
        </w:rPr>
        <w:t xml:space="preserve">. </w:t>
      </w:r>
      <w:r w:rsidRPr="00C00F2A">
        <w:rPr>
          <w:sz w:val="22"/>
          <w:szCs w:val="22"/>
        </w:rPr>
        <w:t xml:space="preserve">U oblasti zapošljavanja, </w:t>
      </w:r>
      <w:r w:rsidR="00827F37" w:rsidRPr="00C00F2A">
        <w:rPr>
          <w:sz w:val="22"/>
          <w:szCs w:val="22"/>
        </w:rPr>
        <w:t>um</w:t>
      </w:r>
      <w:r w:rsidR="001938AA" w:rsidRPr="00C00F2A">
        <w:rPr>
          <w:sz w:val="22"/>
          <w:szCs w:val="22"/>
        </w:rPr>
        <w:t>j</w:t>
      </w:r>
      <w:r w:rsidR="00827F37" w:rsidRPr="00C00F2A">
        <w:rPr>
          <w:sz w:val="22"/>
          <w:szCs w:val="22"/>
        </w:rPr>
        <w:t>esto razvijanja posebnih radionica za osobe sa invaliditetom, moguće je postići uključivanje u redovno radno okruženje uz podršku na radnom m</w:t>
      </w:r>
      <w:r w:rsidR="001938AA" w:rsidRPr="00C00F2A">
        <w:rPr>
          <w:sz w:val="22"/>
          <w:szCs w:val="22"/>
        </w:rPr>
        <w:t>j</w:t>
      </w:r>
      <w:r w:rsidR="00827F37" w:rsidRPr="00C00F2A">
        <w:rPr>
          <w:sz w:val="22"/>
          <w:szCs w:val="22"/>
        </w:rPr>
        <w:t>estu i uz neformalnu podršku kolega sa posla. Jačanje ovakvih vidova podrške je korisno za zapošljavanje i integraciju drugih marginalizovanih grupa.</w:t>
      </w:r>
    </w:p>
    <w:p w:rsidR="00A936CB" w:rsidRPr="00C00F2A" w:rsidRDefault="00A936CB" w:rsidP="00797DF8">
      <w:pPr>
        <w:pStyle w:val="ListParagraph"/>
        <w:spacing w:before="0"/>
        <w:jc w:val="both"/>
        <w:rPr>
          <w:sz w:val="22"/>
          <w:szCs w:val="22"/>
        </w:rPr>
      </w:pPr>
    </w:p>
    <w:p w:rsidR="007F600A" w:rsidRPr="00C00F2A" w:rsidRDefault="007F600A" w:rsidP="00797DF8">
      <w:pPr>
        <w:pStyle w:val="ListParagraph"/>
        <w:numPr>
          <w:ilvl w:val="0"/>
          <w:numId w:val="26"/>
        </w:numPr>
        <w:spacing w:before="0"/>
        <w:jc w:val="both"/>
        <w:rPr>
          <w:b/>
          <w:sz w:val="22"/>
          <w:szCs w:val="22"/>
        </w:rPr>
      </w:pPr>
      <w:r w:rsidRPr="00C00F2A">
        <w:rPr>
          <w:b/>
          <w:sz w:val="22"/>
          <w:szCs w:val="22"/>
        </w:rPr>
        <w:t>Izm</w:t>
      </w:r>
      <w:r w:rsidR="001938AA" w:rsidRPr="00C00F2A">
        <w:rPr>
          <w:b/>
          <w:sz w:val="22"/>
          <w:szCs w:val="22"/>
        </w:rPr>
        <w:t>ij</w:t>
      </w:r>
      <w:r w:rsidRPr="00C00F2A">
        <w:rPr>
          <w:b/>
          <w:sz w:val="22"/>
          <w:szCs w:val="22"/>
        </w:rPr>
        <w:t xml:space="preserve">eniti način finansiranja usluga socijalne zaštite. </w:t>
      </w:r>
      <w:r w:rsidRPr="00C00F2A">
        <w:rPr>
          <w:sz w:val="22"/>
          <w:szCs w:val="22"/>
        </w:rPr>
        <w:t xml:space="preserve">Jedno od ključnih načela adekvatne podrške osobama sa invaliditetom jeste da </w:t>
      </w:r>
      <w:r w:rsidRPr="00C00F2A">
        <w:rPr>
          <w:b/>
          <w:sz w:val="22"/>
          <w:szCs w:val="22"/>
        </w:rPr>
        <w:t>novac prati osobu</w:t>
      </w:r>
      <w:r w:rsidRPr="00C00F2A">
        <w:rPr>
          <w:sz w:val="22"/>
          <w:szCs w:val="22"/>
        </w:rPr>
        <w:t>. Na taj način se obezb</w:t>
      </w:r>
      <w:r w:rsidR="001938AA" w:rsidRPr="00C00F2A">
        <w:rPr>
          <w:sz w:val="22"/>
          <w:szCs w:val="22"/>
        </w:rPr>
        <w:t>j</w:t>
      </w:r>
      <w:r w:rsidRPr="00C00F2A">
        <w:rPr>
          <w:sz w:val="22"/>
          <w:szCs w:val="22"/>
        </w:rPr>
        <w:t>eđuju sredstva za obezb</w:t>
      </w:r>
      <w:r w:rsidR="001938AA" w:rsidRPr="00C00F2A">
        <w:rPr>
          <w:sz w:val="22"/>
          <w:szCs w:val="22"/>
        </w:rPr>
        <w:t>j</w:t>
      </w:r>
      <w:r w:rsidRPr="00C00F2A">
        <w:rPr>
          <w:sz w:val="22"/>
          <w:szCs w:val="22"/>
        </w:rPr>
        <w:t>eđivanje podrške osobi van institucije. Takođe, time se osobi pruža mogućnost izbora usluge koju želi da koristi. U međuvremenu je, svakako, potrebno nastaviti</w:t>
      </w:r>
      <w:r w:rsidR="007A2E47" w:rsidRPr="00C00F2A">
        <w:rPr>
          <w:sz w:val="22"/>
          <w:szCs w:val="22"/>
        </w:rPr>
        <w:t xml:space="preserve"> sa o</w:t>
      </w:r>
      <w:r w:rsidR="00292401" w:rsidRPr="00C00F2A">
        <w:rPr>
          <w:sz w:val="22"/>
          <w:szCs w:val="22"/>
        </w:rPr>
        <w:t>s</w:t>
      </w:r>
      <w:r w:rsidR="007A2E47" w:rsidRPr="00C00F2A">
        <w:rPr>
          <w:sz w:val="22"/>
          <w:szCs w:val="22"/>
        </w:rPr>
        <w:t xml:space="preserve">novnim </w:t>
      </w:r>
      <w:r w:rsidRPr="00C00F2A">
        <w:rPr>
          <w:sz w:val="22"/>
          <w:szCs w:val="22"/>
        </w:rPr>
        <w:t>finansiranje</w:t>
      </w:r>
      <w:r w:rsidR="007A2E47" w:rsidRPr="00C00F2A">
        <w:rPr>
          <w:sz w:val="22"/>
          <w:szCs w:val="22"/>
        </w:rPr>
        <w:t>m</w:t>
      </w:r>
      <w:r w:rsidRPr="00C00F2A">
        <w:rPr>
          <w:sz w:val="22"/>
          <w:szCs w:val="22"/>
        </w:rPr>
        <w:t xml:space="preserve"> institucija</w:t>
      </w:r>
      <w:r w:rsidR="007A2E47" w:rsidRPr="00C00F2A">
        <w:rPr>
          <w:sz w:val="22"/>
          <w:szCs w:val="22"/>
        </w:rPr>
        <w:t>, bez većih ulaganja,</w:t>
      </w:r>
      <w:r w:rsidRPr="00C00F2A">
        <w:rPr>
          <w:sz w:val="22"/>
          <w:szCs w:val="22"/>
        </w:rPr>
        <w:t xml:space="preserve"> u m</w:t>
      </w:r>
      <w:r w:rsidR="00292401" w:rsidRPr="00C00F2A">
        <w:rPr>
          <w:sz w:val="22"/>
          <w:szCs w:val="22"/>
        </w:rPr>
        <w:t>j</w:t>
      </w:r>
      <w:r w:rsidRPr="00C00F2A">
        <w:rPr>
          <w:sz w:val="22"/>
          <w:szCs w:val="22"/>
        </w:rPr>
        <w:t>eri u kojoj je to neophodno</w:t>
      </w:r>
      <w:r w:rsidR="00292401" w:rsidRPr="00C00F2A">
        <w:rPr>
          <w:sz w:val="22"/>
          <w:szCs w:val="22"/>
        </w:rPr>
        <w:t>,</w:t>
      </w:r>
      <w:r w:rsidRPr="00C00F2A">
        <w:rPr>
          <w:sz w:val="22"/>
          <w:szCs w:val="22"/>
        </w:rPr>
        <w:t xml:space="preserve"> dok svi korisnici ne pređu u alternativni oblik pružanja podrške.</w:t>
      </w:r>
    </w:p>
    <w:p w:rsidR="00A936CB" w:rsidRPr="00C00F2A" w:rsidRDefault="00A936CB" w:rsidP="00797DF8">
      <w:pPr>
        <w:pStyle w:val="ListParagraph"/>
        <w:spacing w:before="0"/>
        <w:jc w:val="both"/>
        <w:rPr>
          <w:b/>
          <w:sz w:val="22"/>
          <w:szCs w:val="22"/>
        </w:rPr>
      </w:pPr>
    </w:p>
    <w:p w:rsidR="00F67406" w:rsidRPr="00325103" w:rsidRDefault="007E5F16" w:rsidP="00F67406">
      <w:pPr>
        <w:pStyle w:val="ListParagraph"/>
        <w:numPr>
          <w:ilvl w:val="0"/>
          <w:numId w:val="26"/>
        </w:numPr>
        <w:spacing w:before="0"/>
        <w:jc w:val="both"/>
        <w:rPr>
          <w:b/>
          <w:sz w:val="22"/>
          <w:szCs w:val="22"/>
        </w:rPr>
      </w:pPr>
      <w:r w:rsidRPr="00C00F2A">
        <w:rPr>
          <w:b/>
          <w:sz w:val="22"/>
          <w:szCs w:val="22"/>
        </w:rPr>
        <w:t>Izm</w:t>
      </w:r>
      <w:r w:rsidR="00292401" w:rsidRPr="00C00F2A">
        <w:rPr>
          <w:b/>
          <w:sz w:val="22"/>
          <w:szCs w:val="22"/>
        </w:rPr>
        <w:t>ij</w:t>
      </w:r>
      <w:r w:rsidRPr="00C00F2A">
        <w:rPr>
          <w:b/>
          <w:sz w:val="22"/>
          <w:szCs w:val="22"/>
        </w:rPr>
        <w:t>eniti propise koji regulišu pitanje poslovne sposobnosti</w:t>
      </w:r>
      <w:r w:rsidRPr="00C00F2A">
        <w:rPr>
          <w:sz w:val="22"/>
          <w:szCs w:val="22"/>
        </w:rPr>
        <w:t xml:space="preserve"> tako da budu u skladu sa Konvencijom o pravima osoba sa invaliditetom. </w:t>
      </w:r>
      <w:r w:rsidR="002549DA" w:rsidRPr="00C00F2A">
        <w:rPr>
          <w:sz w:val="22"/>
          <w:szCs w:val="22"/>
        </w:rPr>
        <w:t>Osobe sa invaliditetom moraju imati mogućnost da žive samostalno u zajednici i da prave izbore i imaju kontrolu nad svojim svakodnevnim životima, ravnopravno sa drugima, kako je propisano članom 19.</w:t>
      </w:r>
      <w:r w:rsidR="002549DA" w:rsidRPr="00C00F2A">
        <w:rPr>
          <w:rStyle w:val="FootnoteReference"/>
          <w:sz w:val="22"/>
          <w:szCs w:val="22"/>
        </w:rPr>
        <w:footnoteReference w:id="39"/>
      </w:r>
      <w:r w:rsidR="002549DA" w:rsidRPr="00C00F2A">
        <w:rPr>
          <w:sz w:val="22"/>
          <w:szCs w:val="22"/>
        </w:rPr>
        <w:t xml:space="preserve"> </w:t>
      </w:r>
      <w:r w:rsidR="00292401" w:rsidRPr="00C00F2A">
        <w:rPr>
          <w:sz w:val="22"/>
          <w:szCs w:val="22"/>
        </w:rPr>
        <w:t xml:space="preserve">Priznanje poslovne sposobnosti </w:t>
      </w:r>
      <w:r w:rsidR="00BD1CAD" w:rsidRPr="00C00F2A">
        <w:rPr>
          <w:sz w:val="22"/>
          <w:szCs w:val="22"/>
        </w:rPr>
        <w:t>predstavlja osnovni preduslov za puno socijalno u</w:t>
      </w:r>
      <w:r w:rsidR="00292401" w:rsidRPr="00C00F2A">
        <w:rPr>
          <w:sz w:val="22"/>
          <w:szCs w:val="22"/>
        </w:rPr>
        <w:t>ključivanje u život zajednice.</w:t>
      </w:r>
    </w:p>
    <w:p w:rsidR="00F67406" w:rsidRPr="00325103" w:rsidRDefault="00F67406" w:rsidP="00325103">
      <w:pPr>
        <w:pStyle w:val="ListParagraph"/>
        <w:spacing w:before="0"/>
        <w:jc w:val="both"/>
        <w:rPr>
          <w:b/>
          <w:sz w:val="18"/>
          <w:szCs w:val="18"/>
        </w:rPr>
      </w:pPr>
    </w:p>
    <w:p w:rsidR="002549DA" w:rsidRPr="00C00F2A" w:rsidRDefault="002549DA" w:rsidP="00797DF8">
      <w:pPr>
        <w:pStyle w:val="ListParagraph"/>
        <w:spacing w:before="0"/>
        <w:jc w:val="both"/>
        <w:rPr>
          <w:sz w:val="22"/>
          <w:szCs w:val="22"/>
        </w:rPr>
      </w:pPr>
      <w:r w:rsidRPr="00C00F2A">
        <w:rPr>
          <w:sz w:val="22"/>
          <w:szCs w:val="22"/>
        </w:rPr>
        <w:t>U cilju usaglašavanja sa Konvencijom i poštovanja ljudskih prava osoba sa invaliditetom, mora se sprovesti deinstitucionalizacija i vraćanje poslovne sposobnosti svim osobama sa invaliditetom, koje moraju biti u mogućnosti da izaberu gd</w:t>
      </w:r>
      <w:r w:rsidR="00292401" w:rsidRPr="00C00F2A">
        <w:rPr>
          <w:sz w:val="22"/>
          <w:szCs w:val="22"/>
        </w:rPr>
        <w:t>j</w:t>
      </w:r>
      <w:r w:rsidRPr="00C00F2A">
        <w:rPr>
          <w:sz w:val="22"/>
          <w:szCs w:val="22"/>
        </w:rPr>
        <w:t>e i sa kim će živ</w:t>
      </w:r>
      <w:r w:rsidR="00292401" w:rsidRPr="00C00F2A">
        <w:rPr>
          <w:sz w:val="22"/>
          <w:szCs w:val="22"/>
        </w:rPr>
        <w:t>j</w:t>
      </w:r>
      <w:r w:rsidRPr="00C00F2A">
        <w:rPr>
          <w:sz w:val="22"/>
          <w:szCs w:val="22"/>
        </w:rPr>
        <w:t>eti (član 19). Izbor osobe gd</w:t>
      </w:r>
      <w:r w:rsidR="00292401" w:rsidRPr="00C00F2A">
        <w:rPr>
          <w:sz w:val="22"/>
          <w:szCs w:val="22"/>
        </w:rPr>
        <w:t>j</w:t>
      </w:r>
      <w:r w:rsidRPr="00C00F2A">
        <w:rPr>
          <w:sz w:val="22"/>
          <w:szCs w:val="22"/>
        </w:rPr>
        <w:t>e i sa kim će živ</w:t>
      </w:r>
      <w:r w:rsidR="00292401" w:rsidRPr="00C00F2A">
        <w:rPr>
          <w:sz w:val="22"/>
          <w:szCs w:val="22"/>
        </w:rPr>
        <w:t>j</w:t>
      </w:r>
      <w:r w:rsidRPr="00C00F2A">
        <w:rPr>
          <w:sz w:val="22"/>
          <w:szCs w:val="22"/>
        </w:rPr>
        <w:t>eti ne sm</w:t>
      </w:r>
      <w:r w:rsidR="00292401" w:rsidRPr="00C00F2A">
        <w:rPr>
          <w:sz w:val="22"/>
          <w:szCs w:val="22"/>
        </w:rPr>
        <w:t>ij</w:t>
      </w:r>
      <w:r w:rsidRPr="00C00F2A">
        <w:rPr>
          <w:sz w:val="22"/>
          <w:szCs w:val="22"/>
        </w:rPr>
        <w:t>e uticati na njegovo ili njeno pravo na pristup podršci za ostvarivanje njegove ili njene poslovne sposobnosti.</w:t>
      </w:r>
      <w:r w:rsidRPr="00C00F2A">
        <w:rPr>
          <w:rStyle w:val="FootnoteReference"/>
          <w:sz w:val="22"/>
          <w:szCs w:val="22"/>
        </w:rPr>
        <w:footnoteReference w:id="40"/>
      </w:r>
    </w:p>
    <w:p w:rsidR="00F67406" w:rsidRPr="00325103" w:rsidRDefault="00F67406" w:rsidP="00797DF8">
      <w:pPr>
        <w:pStyle w:val="ListParagraph"/>
        <w:spacing w:before="0"/>
        <w:jc w:val="both"/>
        <w:rPr>
          <w:sz w:val="18"/>
          <w:szCs w:val="18"/>
        </w:rPr>
      </w:pPr>
    </w:p>
    <w:p w:rsidR="00BD1CAD" w:rsidRPr="00C00F2A" w:rsidRDefault="00BD1CAD" w:rsidP="00797DF8">
      <w:pPr>
        <w:pStyle w:val="ListParagraph"/>
        <w:spacing w:before="0"/>
        <w:jc w:val="both"/>
        <w:rPr>
          <w:sz w:val="22"/>
          <w:szCs w:val="22"/>
        </w:rPr>
      </w:pPr>
      <w:r w:rsidRPr="00C00F2A">
        <w:rPr>
          <w:sz w:val="22"/>
          <w:szCs w:val="22"/>
        </w:rPr>
        <w:t xml:space="preserve">Reforma koja se sprovodi u Bugarskoj predstavlja </w:t>
      </w:r>
      <w:r w:rsidR="00D175AF" w:rsidRPr="00C00F2A">
        <w:rPr>
          <w:sz w:val="22"/>
          <w:szCs w:val="22"/>
        </w:rPr>
        <w:t>dobar model koji se može prim</w:t>
      </w:r>
      <w:r w:rsidR="00292401" w:rsidRPr="00C00F2A">
        <w:rPr>
          <w:sz w:val="22"/>
          <w:szCs w:val="22"/>
        </w:rPr>
        <w:t>ij</w:t>
      </w:r>
      <w:r w:rsidR="00D175AF" w:rsidRPr="00C00F2A">
        <w:rPr>
          <w:sz w:val="22"/>
          <w:szCs w:val="22"/>
        </w:rPr>
        <w:t>eniti i u Crnoj Gori</w:t>
      </w:r>
      <w:r w:rsidR="00292401" w:rsidRPr="00C00F2A">
        <w:rPr>
          <w:sz w:val="22"/>
          <w:szCs w:val="22"/>
        </w:rPr>
        <w:t>,</w:t>
      </w:r>
      <w:r w:rsidR="00D175AF" w:rsidRPr="00C00F2A">
        <w:rPr>
          <w:sz w:val="22"/>
          <w:szCs w:val="22"/>
        </w:rPr>
        <w:t xml:space="preserve"> nakon uspostavljanja usluga koje mogu pružati podršku u odlučivanju</w:t>
      </w:r>
      <w:r w:rsidR="00A936CB" w:rsidRPr="00C00F2A">
        <w:rPr>
          <w:sz w:val="22"/>
          <w:szCs w:val="22"/>
        </w:rPr>
        <w:t xml:space="preserve"> osobama sa mentalnim smetnjama</w:t>
      </w:r>
      <w:r w:rsidR="00D175AF" w:rsidRPr="00C00F2A">
        <w:rPr>
          <w:sz w:val="22"/>
          <w:szCs w:val="22"/>
        </w:rPr>
        <w:t>.</w:t>
      </w:r>
    </w:p>
    <w:p w:rsidR="00A936CB" w:rsidRPr="00C00F2A" w:rsidRDefault="00A936CB" w:rsidP="00797DF8">
      <w:pPr>
        <w:pStyle w:val="ListParagraph"/>
        <w:spacing w:before="0"/>
        <w:jc w:val="both"/>
        <w:rPr>
          <w:b/>
          <w:sz w:val="22"/>
          <w:szCs w:val="22"/>
        </w:rPr>
      </w:pPr>
    </w:p>
    <w:p w:rsidR="004F2037" w:rsidRPr="00C00F2A" w:rsidRDefault="00FD2570" w:rsidP="00797DF8">
      <w:pPr>
        <w:pStyle w:val="ListParagraph"/>
        <w:numPr>
          <w:ilvl w:val="0"/>
          <w:numId w:val="26"/>
        </w:numPr>
        <w:tabs>
          <w:tab w:val="left" w:pos="720"/>
        </w:tabs>
        <w:spacing w:before="0"/>
        <w:jc w:val="both"/>
        <w:rPr>
          <w:sz w:val="22"/>
          <w:szCs w:val="22"/>
        </w:rPr>
      </w:pPr>
      <w:r w:rsidRPr="00C00F2A">
        <w:rPr>
          <w:b/>
          <w:sz w:val="22"/>
          <w:szCs w:val="22"/>
        </w:rPr>
        <w:t>Raditi na razbijanju predrasuda kroz kampanje i javne debate.</w:t>
      </w:r>
      <w:r w:rsidRPr="00C00F2A">
        <w:rPr>
          <w:sz w:val="22"/>
          <w:szCs w:val="22"/>
        </w:rPr>
        <w:t xml:space="preserve"> Pojedinačni incidenti i „teški“ slučajevi ne sm</w:t>
      </w:r>
      <w:r w:rsidR="00292401" w:rsidRPr="00C00F2A">
        <w:rPr>
          <w:sz w:val="22"/>
          <w:szCs w:val="22"/>
        </w:rPr>
        <w:t>i</w:t>
      </w:r>
      <w:r w:rsidRPr="00C00F2A">
        <w:rPr>
          <w:sz w:val="22"/>
          <w:szCs w:val="22"/>
        </w:rPr>
        <w:t xml:space="preserve">ju se koristiti kao opravdanje za nečinjenje. </w:t>
      </w:r>
      <w:r w:rsidR="004F2037" w:rsidRPr="00C00F2A">
        <w:rPr>
          <w:sz w:val="22"/>
          <w:szCs w:val="22"/>
        </w:rPr>
        <w:t>Posebno je potrebno raditi na stavovima zdravstvenog osoblja koje bi trebalo da u što većoj m</w:t>
      </w:r>
      <w:r w:rsidR="00250E19" w:rsidRPr="00C00F2A">
        <w:rPr>
          <w:sz w:val="22"/>
          <w:szCs w:val="22"/>
        </w:rPr>
        <w:t>j</w:t>
      </w:r>
      <w:r w:rsidR="004F2037" w:rsidRPr="00C00F2A">
        <w:rPr>
          <w:sz w:val="22"/>
          <w:szCs w:val="22"/>
        </w:rPr>
        <w:t>eri preuzme brigu o ovim osobama u ustanovama primarne i sekundarne zdravstvene zaštite. Potrebno je iskoristiti dugogodšnje iskustvo kolega iz specijalne bolnice u radu sa osobama sa težim oblicima mentalnih smetnji</w:t>
      </w:r>
      <w:r w:rsidR="00250E19" w:rsidRPr="00C00F2A">
        <w:rPr>
          <w:sz w:val="22"/>
          <w:szCs w:val="22"/>
        </w:rPr>
        <w:t>,</w:t>
      </w:r>
      <w:r w:rsidR="004F2037" w:rsidRPr="00C00F2A">
        <w:rPr>
          <w:sz w:val="22"/>
          <w:szCs w:val="22"/>
        </w:rPr>
        <w:t xml:space="preserve"> tako što bi oni imali ulogu mentora ili sav</w:t>
      </w:r>
      <w:r w:rsidR="00250E19" w:rsidRPr="00C00F2A">
        <w:rPr>
          <w:sz w:val="22"/>
          <w:szCs w:val="22"/>
        </w:rPr>
        <w:t>j</w:t>
      </w:r>
      <w:r w:rsidR="004F2037" w:rsidRPr="00C00F2A">
        <w:rPr>
          <w:sz w:val="22"/>
          <w:szCs w:val="22"/>
        </w:rPr>
        <w:t>etnika kolegama koji imaju manje iskustva u radu sa takvim osobama.</w:t>
      </w:r>
    </w:p>
    <w:p w:rsidR="00325103" w:rsidRPr="00325103" w:rsidRDefault="00325103" w:rsidP="00797DF8">
      <w:pPr>
        <w:pStyle w:val="ListParagraph"/>
        <w:spacing w:before="0"/>
        <w:jc w:val="both"/>
        <w:rPr>
          <w:sz w:val="18"/>
          <w:szCs w:val="18"/>
        </w:rPr>
      </w:pPr>
    </w:p>
    <w:p w:rsidR="00A0010A" w:rsidRPr="00C00F2A" w:rsidRDefault="00FD2570" w:rsidP="00797DF8">
      <w:pPr>
        <w:pStyle w:val="ListParagraph"/>
        <w:spacing w:before="0"/>
        <w:jc w:val="both"/>
        <w:rPr>
          <w:sz w:val="22"/>
          <w:szCs w:val="22"/>
        </w:rPr>
      </w:pPr>
      <w:r w:rsidRPr="00C00F2A">
        <w:rPr>
          <w:sz w:val="22"/>
          <w:szCs w:val="22"/>
        </w:rPr>
        <w:t>Najefikasniji način razbijanja predrasuda jeste putem ličnog iskustva koje se stiče uključivanjem osoba sa mentalnim smetnjama u zajednicu uz obezb</w:t>
      </w:r>
      <w:r w:rsidR="00250E19" w:rsidRPr="00C00F2A">
        <w:rPr>
          <w:sz w:val="22"/>
          <w:szCs w:val="22"/>
        </w:rPr>
        <w:t>j</w:t>
      </w:r>
      <w:r w:rsidRPr="00C00F2A">
        <w:rPr>
          <w:sz w:val="22"/>
          <w:szCs w:val="22"/>
        </w:rPr>
        <w:t>eđivanje potrebne podrške. Iskustva iz svih zemalja ukazuju da podrška</w:t>
      </w:r>
      <w:r w:rsidR="00250E19" w:rsidRPr="00C00F2A">
        <w:rPr>
          <w:sz w:val="22"/>
          <w:szCs w:val="22"/>
        </w:rPr>
        <w:t>,</w:t>
      </w:r>
      <w:r w:rsidRPr="00C00F2A">
        <w:rPr>
          <w:sz w:val="22"/>
          <w:szCs w:val="22"/>
        </w:rPr>
        <w:t xml:space="preserve"> koja se pruža u prirodnom okruženju</w:t>
      </w:r>
      <w:r w:rsidR="00250E19" w:rsidRPr="00C00F2A">
        <w:rPr>
          <w:sz w:val="22"/>
          <w:szCs w:val="22"/>
        </w:rPr>
        <w:t>,</w:t>
      </w:r>
      <w:r w:rsidRPr="00C00F2A">
        <w:rPr>
          <w:sz w:val="22"/>
          <w:szCs w:val="22"/>
        </w:rPr>
        <w:t xml:space="preserve"> omogućava pravovremenu reakciju na potencijalna pogoršanja bolesti, smanjuje potrebu za medikamentima, sprečava prislilnu hospitalizaciju i doprinosi oporavku.</w:t>
      </w:r>
      <w:r w:rsidR="00650AC6" w:rsidRPr="00C00F2A">
        <w:rPr>
          <w:sz w:val="22"/>
          <w:szCs w:val="22"/>
        </w:rPr>
        <w:t xml:space="preserve"> </w:t>
      </w:r>
      <w:r w:rsidRPr="00C00F2A">
        <w:rPr>
          <w:sz w:val="22"/>
          <w:szCs w:val="22"/>
        </w:rPr>
        <w:t>Važno je imati u vidu da svaka osoba zaht</w:t>
      </w:r>
      <w:r w:rsidR="00250E19" w:rsidRPr="00C00F2A">
        <w:rPr>
          <w:sz w:val="22"/>
          <w:szCs w:val="22"/>
        </w:rPr>
        <w:t>ij</w:t>
      </w:r>
      <w:r w:rsidRPr="00C00F2A">
        <w:rPr>
          <w:sz w:val="22"/>
          <w:szCs w:val="22"/>
        </w:rPr>
        <w:t>eva individualizovan pristup i da se podrška koja se pruža mora zasnivati na pov</w:t>
      </w:r>
      <w:r w:rsidR="00250E19" w:rsidRPr="00C00F2A">
        <w:rPr>
          <w:sz w:val="22"/>
          <w:szCs w:val="22"/>
        </w:rPr>
        <w:t>j</w:t>
      </w:r>
      <w:r w:rsidRPr="00C00F2A">
        <w:rPr>
          <w:sz w:val="22"/>
          <w:szCs w:val="22"/>
        </w:rPr>
        <w:t xml:space="preserve">erenju i poštovanju lične autonomije i dostojanstva. </w:t>
      </w:r>
    </w:p>
    <w:p w:rsidR="00FD2570" w:rsidRPr="00C00F2A" w:rsidRDefault="00BC5628" w:rsidP="00797DF8">
      <w:pPr>
        <w:jc w:val="both"/>
        <w:rPr>
          <w:sz w:val="22"/>
          <w:szCs w:val="22"/>
        </w:rPr>
      </w:pPr>
      <w:r w:rsidRPr="00C00F2A">
        <w:rPr>
          <w:sz w:val="22"/>
          <w:szCs w:val="22"/>
        </w:rPr>
        <w:t>Pravo na život u zajednici podjednako važi za sve osobe sa invaliditetom</w:t>
      </w:r>
      <w:r w:rsidR="00072E19" w:rsidRPr="00C00F2A">
        <w:rPr>
          <w:sz w:val="22"/>
          <w:szCs w:val="22"/>
        </w:rPr>
        <w:t xml:space="preserve">. </w:t>
      </w:r>
      <w:r w:rsidRPr="00C00F2A">
        <w:rPr>
          <w:sz w:val="22"/>
          <w:szCs w:val="22"/>
        </w:rPr>
        <w:t xml:space="preserve">Bez obzira na intenzitet potrebne podrške svako, bez izuzetka, ima pravo i zaslužuje da bude uključen i da mu </w:t>
      </w:r>
      <w:r w:rsidR="004F2037" w:rsidRPr="00C00F2A">
        <w:rPr>
          <w:sz w:val="22"/>
          <w:szCs w:val="22"/>
        </w:rPr>
        <w:t>s</w:t>
      </w:r>
      <w:r w:rsidRPr="00C00F2A">
        <w:rPr>
          <w:sz w:val="22"/>
          <w:szCs w:val="22"/>
        </w:rPr>
        <w:t>e omoguć</w:t>
      </w:r>
      <w:r w:rsidR="004F2037" w:rsidRPr="00C00F2A">
        <w:rPr>
          <w:sz w:val="22"/>
          <w:szCs w:val="22"/>
        </w:rPr>
        <w:t>i</w:t>
      </w:r>
      <w:r w:rsidRPr="00C00F2A">
        <w:rPr>
          <w:sz w:val="22"/>
          <w:szCs w:val="22"/>
        </w:rPr>
        <w:t xml:space="preserve"> da učestvuje u životu društvene zajednice.</w:t>
      </w:r>
      <w:r w:rsidR="00072E19" w:rsidRPr="00C00F2A">
        <w:rPr>
          <w:sz w:val="22"/>
          <w:szCs w:val="22"/>
        </w:rPr>
        <w:t xml:space="preserve"> </w:t>
      </w:r>
      <w:r w:rsidRPr="00C00F2A">
        <w:rPr>
          <w:sz w:val="22"/>
          <w:szCs w:val="22"/>
        </w:rPr>
        <w:t>Konstantno s</w:t>
      </w:r>
      <w:r w:rsidR="004F2037" w:rsidRPr="00C00F2A">
        <w:rPr>
          <w:sz w:val="22"/>
          <w:szCs w:val="22"/>
        </w:rPr>
        <w:t>e potvrđuje</w:t>
      </w:r>
      <w:r w:rsidRPr="00C00F2A">
        <w:rPr>
          <w:sz w:val="22"/>
          <w:szCs w:val="22"/>
        </w:rPr>
        <w:t xml:space="preserve"> da ljudi</w:t>
      </w:r>
      <w:r w:rsidR="00250E19" w:rsidRPr="00C00F2A">
        <w:rPr>
          <w:sz w:val="22"/>
          <w:szCs w:val="22"/>
        </w:rPr>
        <w:t>,</w:t>
      </w:r>
      <w:r w:rsidRPr="00C00F2A">
        <w:rPr>
          <w:sz w:val="22"/>
          <w:szCs w:val="22"/>
        </w:rPr>
        <w:t xml:space="preserve"> za koje se smatralo da su „previše ometeni“ da bi imali koristi od uključivanja u zajednicu</w:t>
      </w:r>
      <w:r w:rsidR="00250E19" w:rsidRPr="00C00F2A">
        <w:rPr>
          <w:sz w:val="22"/>
          <w:szCs w:val="22"/>
        </w:rPr>
        <w:t>,</w:t>
      </w:r>
      <w:r w:rsidRPr="00C00F2A">
        <w:rPr>
          <w:sz w:val="22"/>
          <w:szCs w:val="22"/>
        </w:rPr>
        <w:t xml:space="preserve"> napreduju u okruženju gd</w:t>
      </w:r>
      <w:r w:rsidR="00250E19" w:rsidRPr="00C00F2A">
        <w:rPr>
          <w:sz w:val="22"/>
          <w:szCs w:val="22"/>
        </w:rPr>
        <w:t>j</w:t>
      </w:r>
      <w:r w:rsidRPr="00C00F2A">
        <w:rPr>
          <w:sz w:val="22"/>
          <w:szCs w:val="22"/>
        </w:rPr>
        <w:t>e su vrednovani, gd</w:t>
      </w:r>
      <w:r w:rsidR="00250E19" w:rsidRPr="00C00F2A">
        <w:rPr>
          <w:sz w:val="22"/>
          <w:szCs w:val="22"/>
        </w:rPr>
        <w:t>j</w:t>
      </w:r>
      <w:r w:rsidRPr="00C00F2A">
        <w:rPr>
          <w:sz w:val="22"/>
          <w:szCs w:val="22"/>
        </w:rPr>
        <w:t>e učestvuju u svakodnevnom životu neposrednog okruženja, gd</w:t>
      </w:r>
      <w:r w:rsidR="00250E19" w:rsidRPr="00C00F2A">
        <w:rPr>
          <w:sz w:val="22"/>
          <w:szCs w:val="22"/>
        </w:rPr>
        <w:t>j</w:t>
      </w:r>
      <w:r w:rsidRPr="00C00F2A">
        <w:rPr>
          <w:sz w:val="22"/>
          <w:szCs w:val="22"/>
        </w:rPr>
        <w:t>e se n</w:t>
      </w:r>
      <w:r w:rsidR="00250E19" w:rsidRPr="00C00F2A">
        <w:rPr>
          <w:sz w:val="22"/>
          <w:szCs w:val="22"/>
        </w:rPr>
        <w:t>j</w:t>
      </w:r>
      <w:r w:rsidRPr="00C00F2A">
        <w:rPr>
          <w:sz w:val="22"/>
          <w:szCs w:val="22"/>
        </w:rPr>
        <w:t>eguje njihova autonomija i gd</w:t>
      </w:r>
      <w:r w:rsidR="00250E19" w:rsidRPr="00C00F2A">
        <w:rPr>
          <w:sz w:val="22"/>
          <w:szCs w:val="22"/>
        </w:rPr>
        <w:t>j</w:t>
      </w:r>
      <w:r w:rsidRPr="00C00F2A">
        <w:rPr>
          <w:sz w:val="22"/>
          <w:szCs w:val="22"/>
        </w:rPr>
        <w:t>e im je data mogućnost izbora. Programi koji se realizuju širom sv</w:t>
      </w:r>
      <w:r w:rsidR="00250E19" w:rsidRPr="00C00F2A">
        <w:rPr>
          <w:sz w:val="22"/>
          <w:szCs w:val="22"/>
        </w:rPr>
        <w:t>ij</w:t>
      </w:r>
      <w:r w:rsidRPr="00C00F2A">
        <w:rPr>
          <w:sz w:val="22"/>
          <w:szCs w:val="22"/>
        </w:rPr>
        <w:t>eta su pokazali da je moguće odgovoriti na sve potrebe za podrškom i da se to najbolje čini u prirodnom okruženju</w:t>
      </w:r>
      <w:r w:rsidR="00022B3E" w:rsidRPr="00C00F2A">
        <w:rPr>
          <w:sz w:val="22"/>
          <w:szCs w:val="22"/>
        </w:rPr>
        <w:t>,</w:t>
      </w:r>
      <w:r w:rsidRPr="00C00F2A">
        <w:rPr>
          <w:sz w:val="22"/>
          <w:szCs w:val="22"/>
        </w:rPr>
        <w:t xml:space="preserve"> koje dozvoljava izražavanje individualnosti i </w:t>
      </w:r>
      <w:r w:rsidR="00056AAD" w:rsidRPr="00C00F2A">
        <w:rPr>
          <w:sz w:val="22"/>
          <w:szCs w:val="22"/>
        </w:rPr>
        <w:t>pruža bolju zaštitu od zloupotrebe</w:t>
      </w:r>
      <w:r w:rsidR="004F2037" w:rsidRPr="00C00F2A">
        <w:rPr>
          <w:sz w:val="22"/>
          <w:szCs w:val="22"/>
        </w:rPr>
        <w:t>.</w:t>
      </w:r>
    </w:p>
    <w:p w:rsidR="006C0C58" w:rsidRPr="00C00F2A" w:rsidRDefault="006C0C58" w:rsidP="00797DF8">
      <w:pPr>
        <w:jc w:val="both"/>
        <w:rPr>
          <w:sz w:val="22"/>
          <w:szCs w:val="22"/>
        </w:rPr>
        <w:sectPr w:rsidR="006C0C58" w:rsidRPr="00C00F2A">
          <w:pgSz w:w="12240" w:h="15840"/>
          <w:pgMar w:top="1440" w:right="1440" w:bottom="1440" w:left="1440" w:header="720" w:footer="720" w:gutter="0"/>
          <w:cols w:space="720"/>
          <w:docGrid w:linePitch="360"/>
        </w:sectPr>
      </w:pPr>
    </w:p>
    <w:p w:rsidR="004A59D3" w:rsidRPr="00C00F2A" w:rsidRDefault="005F1EEC" w:rsidP="005F1EEC">
      <w:pPr>
        <w:pStyle w:val="Heading2"/>
        <w:rPr>
          <w:rStyle w:val="SubtleEmphasis"/>
          <w:i w:val="0"/>
        </w:rPr>
      </w:pPr>
      <w:bookmarkStart w:id="21" w:name="_Toc473540829"/>
      <w:r w:rsidRPr="00C00F2A">
        <w:rPr>
          <w:rStyle w:val="SubtleEmphasis"/>
          <w:i w:val="0"/>
        </w:rPr>
        <w:t>Literatura</w:t>
      </w:r>
      <w:bookmarkEnd w:id="21"/>
    </w:p>
    <w:p w:rsidR="0004471A" w:rsidRPr="00C00F2A" w:rsidRDefault="0004471A" w:rsidP="00797DF8">
      <w:pPr>
        <w:jc w:val="both"/>
        <w:rPr>
          <w:sz w:val="22"/>
          <w:szCs w:val="22"/>
        </w:rPr>
      </w:pPr>
      <w:r w:rsidRPr="00C00F2A">
        <w:rPr>
          <w:sz w:val="22"/>
          <w:szCs w:val="22"/>
        </w:rPr>
        <w:t>A Focus Report on how the current use of Structural Funds perpetuates the social exclusion of disabled people in Central and Eastern Europe by failing to support the transition from institutional care to community-based services, Focus Report of the European Coalition for Community Living 2010</w:t>
      </w:r>
    </w:p>
    <w:p w:rsidR="00B90489" w:rsidRPr="00C00F2A" w:rsidRDefault="00B90489" w:rsidP="00797DF8">
      <w:pPr>
        <w:jc w:val="both"/>
        <w:rPr>
          <w:sz w:val="22"/>
          <w:szCs w:val="22"/>
        </w:rPr>
      </w:pPr>
      <w:r w:rsidRPr="00C00F2A">
        <w:rPr>
          <w:sz w:val="22"/>
          <w:szCs w:val="22"/>
        </w:rPr>
        <w:t>Dimitrova Marieta i Hristakieva Valentina, Effective rights for mental health patients-Bulgaria, 2016 (dokument u pos</w:t>
      </w:r>
      <w:r w:rsidR="00022B3E" w:rsidRPr="00C00F2A">
        <w:rPr>
          <w:sz w:val="22"/>
          <w:szCs w:val="22"/>
        </w:rPr>
        <w:t>j</w:t>
      </w:r>
      <w:r w:rsidRPr="00C00F2A">
        <w:rPr>
          <w:sz w:val="22"/>
          <w:szCs w:val="22"/>
        </w:rPr>
        <w:t>edu Akcije za ljudska prava)</w:t>
      </w:r>
    </w:p>
    <w:p w:rsidR="00396871" w:rsidRPr="00C00F2A" w:rsidRDefault="00396871" w:rsidP="00797DF8">
      <w:pPr>
        <w:jc w:val="both"/>
        <w:rPr>
          <w:sz w:val="22"/>
          <w:szCs w:val="22"/>
        </w:rPr>
      </w:pPr>
      <w:r w:rsidRPr="00C00F2A">
        <w:rPr>
          <w:sz w:val="22"/>
          <w:szCs w:val="22"/>
        </w:rPr>
        <w:t>Dmitri Bartenev, M.D., Potential of Human Rights Standards for Deinstitutionalization of Mental Health Services in Russia: a Comparative Legal Analysis</w:t>
      </w:r>
      <w:r w:rsidR="00727BC1" w:rsidRPr="00C00F2A">
        <w:rPr>
          <w:sz w:val="22"/>
          <w:szCs w:val="22"/>
        </w:rPr>
        <w:t>, Center for Policy Studies, Open Society Institute, Budapest (Hungary)</w:t>
      </w:r>
    </w:p>
    <w:p w:rsidR="00727BC1" w:rsidRPr="00C00F2A" w:rsidRDefault="00727BC1" w:rsidP="00797DF8">
      <w:pPr>
        <w:jc w:val="both"/>
        <w:rPr>
          <w:sz w:val="22"/>
          <w:szCs w:val="22"/>
        </w:rPr>
      </w:pPr>
      <w:r w:rsidRPr="00C00F2A">
        <w:rPr>
          <w:sz w:val="22"/>
          <w:szCs w:val="22"/>
        </w:rPr>
        <w:t>Gordon C Shen &amp; Lonnie R Snowden, Institutionalization of deinstitutionalization: a cross-national analysis of mental health system reform, International Journal of Mental Health Systems 2014, 8:47 dostupno na http://www.ijmhs.com/content/8/1/47</w:t>
      </w:r>
    </w:p>
    <w:p w:rsidR="00D66E36" w:rsidRPr="00C00F2A" w:rsidRDefault="00D66E36" w:rsidP="00797DF8">
      <w:pPr>
        <w:jc w:val="both"/>
        <w:rPr>
          <w:sz w:val="22"/>
          <w:szCs w:val="22"/>
        </w:rPr>
      </w:pPr>
      <w:r w:rsidRPr="00C00F2A">
        <w:rPr>
          <w:sz w:val="22"/>
          <w:szCs w:val="22"/>
        </w:rPr>
        <w:t xml:space="preserve">Hoze Migel Kaldas de Almeida i Helen Kilaspi, Long-term mental health care for people with severe mental disorders, European Union 2011 </w:t>
      </w:r>
    </w:p>
    <w:p w:rsidR="000B3AEA" w:rsidRPr="00C00F2A" w:rsidRDefault="000B3AEA" w:rsidP="00797DF8">
      <w:pPr>
        <w:jc w:val="both"/>
        <w:rPr>
          <w:sz w:val="22"/>
          <w:szCs w:val="22"/>
        </w:rPr>
      </w:pPr>
      <w:r w:rsidRPr="00C00F2A">
        <w:rPr>
          <w:sz w:val="22"/>
          <w:szCs w:val="22"/>
        </w:rPr>
        <w:t xml:space="preserve">Evropska konvencija o ljudskim pravima i osnovnim slobodama, Savet Evrope, 1950 dostupno na: </w:t>
      </w:r>
      <w:hyperlink r:id="rId15" w:history="1">
        <w:r w:rsidRPr="00C00F2A">
          <w:rPr>
            <w:rStyle w:val="Hyperlink"/>
            <w:sz w:val="22"/>
            <w:szCs w:val="22"/>
          </w:rPr>
          <w:t>http://www.echr.coe.int/pages/home.aspx?p=basictexts</w:t>
        </w:r>
      </w:hyperlink>
    </w:p>
    <w:p w:rsidR="0004471A" w:rsidRPr="00C00F2A" w:rsidRDefault="0004471A" w:rsidP="00797DF8">
      <w:pPr>
        <w:jc w:val="both"/>
        <w:rPr>
          <w:sz w:val="22"/>
          <w:szCs w:val="22"/>
        </w:rPr>
      </w:pPr>
      <w:r w:rsidRPr="00C00F2A">
        <w:rPr>
          <w:sz w:val="22"/>
          <w:szCs w:val="22"/>
        </w:rPr>
        <w:t>Focus on Article 19 of the UN Convention on the Rights of Persons with Disabilities, Focus Report of the European Coalition for Community Living 2009</w:t>
      </w:r>
    </w:p>
    <w:p w:rsidR="00BC39C8" w:rsidRPr="00C00F2A" w:rsidRDefault="00BC39C8" w:rsidP="00797DF8">
      <w:pPr>
        <w:jc w:val="both"/>
        <w:rPr>
          <w:sz w:val="22"/>
          <w:szCs w:val="22"/>
        </w:rPr>
      </w:pPr>
      <w:r w:rsidRPr="00C00F2A">
        <w:rPr>
          <w:sz w:val="22"/>
          <w:szCs w:val="22"/>
        </w:rPr>
        <w:t>Ines Bulić, Jedinstvene evropske sm</w:t>
      </w:r>
      <w:r w:rsidR="00022B3E" w:rsidRPr="00C00F2A">
        <w:rPr>
          <w:sz w:val="22"/>
          <w:szCs w:val="22"/>
        </w:rPr>
        <w:t>j</w:t>
      </w:r>
      <w:r w:rsidRPr="00C00F2A">
        <w:rPr>
          <w:sz w:val="22"/>
          <w:szCs w:val="22"/>
        </w:rPr>
        <w:t>ernice za prelazak sa institucionalne zaštite na brigu i podršku u zajednici, Evropska ekspertska grupa za prelazak sa institucionalne zaštite na podršku u okviru zajednice, 2012</w:t>
      </w:r>
    </w:p>
    <w:p w:rsidR="000B3AEA" w:rsidRPr="00C00F2A" w:rsidRDefault="000B3AEA" w:rsidP="00797DF8">
      <w:pPr>
        <w:jc w:val="both"/>
        <w:rPr>
          <w:sz w:val="22"/>
          <w:szCs w:val="22"/>
        </w:rPr>
      </w:pPr>
      <w:r w:rsidRPr="00C00F2A">
        <w:rPr>
          <w:sz w:val="22"/>
          <w:szCs w:val="22"/>
        </w:rPr>
        <w:t>Inicijalni izv</w:t>
      </w:r>
      <w:r w:rsidR="00022B3E" w:rsidRPr="00C00F2A">
        <w:rPr>
          <w:sz w:val="22"/>
          <w:szCs w:val="22"/>
        </w:rPr>
        <w:t>j</w:t>
      </w:r>
      <w:r w:rsidRPr="00C00F2A">
        <w:rPr>
          <w:sz w:val="22"/>
          <w:szCs w:val="22"/>
        </w:rPr>
        <w:t>eštaj Crne Gore o prim</w:t>
      </w:r>
      <w:r w:rsidR="00022B3E" w:rsidRPr="00C00F2A">
        <w:rPr>
          <w:sz w:val="22"/>
          <w:szCs w:val="22"/>
        </w:rPr>
        <w:t>j</w:t>
      </w:r>
      <w:r w:rsidRPr="00C00F2A">
        <w:rPr>
          <w:sz w:val="22"/>
          <w:szCs w:val="22"/>
        </w:rPr>
        <w:t xml:space="preserve">eni Konvencije o pravima osoba sa invaliditetom, dostupan na: </w:t>
      </w:r>
      <w:hyperlink r:id="rId16" w:history="1">
        <w:r w:rsidR="00542172" w:rsidRPr="00C00F2A">
          <w:rPr>
            <w:rStyle w:val="Hyperlink"/>
            <w:sz w:val="22"/>
            <w:szCs w:val="22"/>
          </w:rPr>
          <w:t>http://tbinternet.ohchr.org/_layouts/treatybodyexternal/Download.aspx?symbolno=CRPD%2fC%2fMNE%2f1&amp;Lang=en</w:t>
        </w:r>
      </w:hyperlink>
    </w:p>
    <w:p w:rsidR="00542172" w:rsidRPr="00C00F2A" w:rsidRDefault="00542172" w:rsidP="00797DF8">
      <w:pPr>
        <w:jc w:val="both"/>
        <w:rPr>
          <w:sz w:val="22"/>
          <w:szCs w:val="22"/>
        </w:rPr>
      </w:pPr>
      <w:r w:rsidRPr="00C00F2A">
        <w:rPr>
          <w:sz w:val="22"/>
          <w:szCs w:val="22"/>
        </w:rPr>
        <w:t>Janjić Biljana, Beker Kosana i Marković Milan M. (ur), Zbirka radova i preporuka – Poslovna sposobnost i život u zajednici: zaštita prava osoba sa invaliditetom, Inicijativa za prava osoba sa mentalnim invaliditetom MDRI-S, Beograd, 2014</w:t>
      </w:r>
    </w:p>
    <w:p w:rsidR="00914C36" w:rsidRPr="00C00F2A" w:rsidRDefault="00914C36" w:rsidP="00797DF8">
      <w:pPr>
        <w:jc w:val="both"/>
        <w:rPr>
          <w:sz w:val="22"/>
          <w:szCs w:val="22"/>
        </w:rPr>
      </w:pPr>
      <w:r w:rsidRPr="00C00F2A">
        <w:rPr>
          <w:sz w:val="22"/>
          <w:szCs w:val="22"/>
        </w:rPr>
        <w:t>Konvencija o pravima osoba sa invaliditetom, „Službeni list CG – Međunarodni ugovori”, br. 2/2009</w:t>
      </w:r>
    </w:p>
    <w:p w:rsidR="00BC39C8" w:rsidRPr="00C00F2A" w:rsidRDefault="00BC39C8" w:rsidP="00797DF8">
      <w:pPr>
        <w:jc w:val="both"/>
        <w:rPr>
          <w:sz w:val="22"/>
          <w:szCs w:val="22"/>
        </w:rPr>
      </w:pPr>
      <w:r w:rsidRPr="00C00F2A">
        <w:rPr>
          <w:sz w:val="22"/>
          <w:szCs w:val="22"/>
        </w:rPr>
        <w:t xml:space="preserve">Mirjana Radović, Olivera Vulić i Danilo Ajković, Poštovanje ljudskih prava pacijenata smještenih u psihijatrijskim ustanovama (u Specijalnoj bolnici za psihijatriju u Kotoru, na odjeljenju za psihijatriju Opšte bolnice u Nikšiću i Klinici za psihijatriju Kliničkog centra Crne Gore), Izvještaj monitoring tima nevladinih organizacija: Akcija za ljudska prava, Centar za antidiskriminaciju „Ekvista“, Centar za građansko obrazovanje i Sigurna ženska kuća, Podgorica 2013, dostupno na </w:t>
      </w:r>
      <w:hyperlink r:id="rId17" w:history="1">
        <w:r w:rsidRPr="00C00F2A">
          <w:rPr>
            <w:rStyle w:val="Hyperlink"/>
            <w:sz w:val="22"/>
            <w:szCs w:val="22"/>
          </w:rPr>
          <w:t>http://www.hraction.org/wp-content/uploads/Izvjestaj_Dobrota_CG.pdf</w:t>
        </w:r>
      </w:hyperlink>
      <w:r w:rsidRPr="00C00F2A">
        <w:rPr>
          <w:sz w:val="22"/>
          <w:szCs w:val="22"/>
        </w:rPr>
        <w:t xml:space="preserve"> (pristupljeno 30.01.2017. godine)</w:t>
      </w:r>
    </w:p>
    <w:p w:rsidR="00E4766B" w:rsidRPr="00C00F2A" w:rsidRDefault="00E4766B" w:rsidP="00797DF8">
      <w:pPr>
        <w:jc w:val="both"/>
        <w:rPr>
          <w:sz w:val="22"/>
          <w:szCs w:val="22"/>
        </w:rPr>
      </w:pPr>
      <w:r w:rsidRPr="00C00F2A">
        <w:rPr>
          <w:sz w:val="22"/>
          <w:szCs w:val="22"/>
        </w:rPr>
        <w:t>Principi zaštite osoba sa mentalnim teškoćama i poboljšanje brige o mentalnom zdravlju, Generalna skupština UN, A/RES/46/119 (1991), dostupno na:</w:t>
      </w:r>
      <w:r w:rsidR="00C71E72" w:rsidRPr="00C00F2A">
        <w:rPr>
          <w:sz w:val="22"/>
          <w:szCs w:val="22"/>
        </w:rPr>
        <w:t xml:space="preserve"> </w:t>
      </w:r>
      <w:r w:rsidRPr="00C00F2A">
        <w:rPr>
          <w:sz w:val="22"/>
          <w:szCs w:val="22"/>
        </w:rPr>
        <w:t xml:space="preserve"> </w:t>
      </w:r>
      <w:hyperlink r:id="rId18" w:history="1">
        <w:r w:rsidR="000957DB" w:rsidRPr="00C00F2A">
          <w:rPr>
            <w:rStyle w:val="Hyperlink"/>
            <w:sz w:val="22"/>
            <w:szCs w:val="22"/>
          </w:rPr>
          <w:t>http://www.un.org/documents/ga/res/46/a46r119.htm</w:t>
        </w:r>
      </w:hyperlink>
    </w:p>
    <w:p w:rsidR="00CB135A" w:rsidRPr="00C00F2A" w:rsidRDefault="00CB135A" w:rsidP="00797DF8">
      <w:pPr>
        <w:jc w:val="both"/>
        <w:rPr>
          <w:sz w:val="22"/>
          <w:szCs w:val="22"/>
        </w:rPr>
      </w:pPr>
      <w:r w:rsidRPr="00C00F2A">
        <w:rPr>
          <w:sz w:val="22"/>
          <w:szCs w:val="22"/>
        </w:rPr>
        <w:t>Sav</w:t>
      </w:r>
      <w:r w:rsidR="005A5FE3" w:rsidRPr="00C00F2A">
        <w:rPr>
          <w:sz w:val="22"/>
          <w:szCs w:val="22"/>
        </w:rPr>
        <w:t>j</w:t>
      </w:r>
      <w:r w:rsidRPr="00C00F2A">
        <w:rPr>
          <w:sz w:val="22"/>
          <w:szCs w:val="22"/>
        </w:rPr>
        <w:t>et Evrope, Komesar za ljudska prava, Ko može da odlučuje? Pravo na poslovnu sposobnost za lica sa intelektualnim i psihosocijalnim invaliditetom, CommDH/Isse Paper (2012)2</w:t>
      </w:r>
      <w:r w:rsidR="00FF791A" w:rsidRPr="00C00F2A">
        <w:rPr>
          <w:sz w:val="22"/>
          <w:szCs w:val="22"/>
        </w:rPr>
        <w:t xml:space="preserve">, </w:t>
      </w:r>
      <w:r w:rsidR="000F0CCD" w:rsidRPr="00C00F2A">
        <w:rPr>
          <w:sz w:val="22"/>
          <w:szCs w:val="22"/>
        </w:rPr>
        <w:t xml:space="preserve"> dostupno na: </w:t>
      </w:r>
      <w:r w:rsidR="00C71E72" w:rsidRPr="00C00F2A">
        <w:rPr>
          <w:sz w:val="22"/>
          <w:szCs w:val="22"/>
        </w:rPr>
        <w:t xml:space="preserve"> </w:t>
      </w:r>
      <w:hyperlink r:id="rId19" w:history="1">
        <w:r w:rsidR="00C71E72" w:rsidRPr="00C00F2A">
          <w:rPr>
            <w:rStyle w:val="Hyperlink"/>
            <w:sz w:val="22"/>
            <w:szCs w:val="22"/>
          </w:rPr>
          <w:t>https://rm.coe.int/CoERMPublicCommonSearchServices/DisplayDCTMContent?documentId=09000016806dabba</w:t>
        </w:r>
      </w:hyperlink>
      <w:r w:rsidR="00C71E72" w:rsidRPr="00C00F2A">
        <w:rPr>
          <w:sz w:val="22"/>
          <w:szCs w:val="22"/>
        </w:rPr>
        <w:t xml:space="preserve"> </w:t>
      </w:r>
    </w:p>
    <w:p w:rsidR="00CB135A" w:rsidRPr="00C00F2A" w:rsidRDefault="00CB135A" w:rsidP="00797DF8">
      <w:pPr>
        <w:jc w:val="both"/>
        <w:rPr>
          <w:sz w:val="22"/>
          <w:szCs w:val="22"/>
        </w:rPr>
      </w:pPr>
      <w:r w:rsidRPr="00C00F2A">
        <w:rPr>
          <w:sz w:val="22"/>
          <w:szCs w:val="22"/>
        </w:rPr>
        <w:t>Sav</w:t>
      </w:r>
      <w:r w:rsidR="005A5FE3" w:rsidRPr="00C00F2A">
        <w:rPr>
          <w:sz w:val="22"/>
          <w:szCs w:val="22"/>
        </w:rPr>
        <w:t>j</w:t>
      </w:r>
      <w:r w:rsidRPr="00C00F2A">
        <w:rPr>
          <w:sz w:val="22"/>
          <w:szCs w:val="22"/>
        </w:rPr>
        <w:t>et Evrope, Komesar za ljudska prava, Pravo lica sa invaliditetom da žive samostalno i budu uključeni u zajednicu, CommDH/IssuePaper(2012)3</w:t>
      </w:r>
      <w:r w:rsidR="00FF791A" w:rsidRPr="00C00F2A">
        <w:rPr>
          <w:sz w:val="22"/>
          <w:szCs w:val="22"/>
        </w:rPr>
        <w:t xml:space="preserve">, </w:t>
      </w:r>
      <w:r w:rsidRPr="00C00F2A">
        <w:rPr>
          <w:sz w:val="22"/>
          <w:szCs w:val="22"/>
        </w:rPr>
        <w:t>dostupno na</w:t>
      </w:r>
      <w:r w:rsidR="001A6DED" w:rsidRPr="00C00F2A">
        <w:rPr>
          <w:sz w:val="22"/>
          <w:szCs w:val="22"/>
        </w:rPr>
        <w:t>:</w:t>
      </w:r>
      <w:r w:rsidRPr="00C00F2A">
        <w:rPr>
          <w:sz w:val="22"/>
          <w:szCs w:val="22"/>
        </w:rPr>
        <w:t xml:space="preserve"> </w:t>
      </w:r>
      <w:hyperlink r:id="rId20" w:history="1">
        <w:r w:rsidRPr="00C00F2A">
          <w:rPr>
            <w:rStyle w:val="Hyperlink"/>
            <w:sz w:val="22"/>
            <w:szCs w:val="22"/>
          </w:rPr>
          <w:t>https://wcd.coe.int/com.instranet.InstraServlet?command=com.instranet.CmdBlobGet&amp;InstranetImage=2955388&amp;SecMode=1&amp;DocId=1978478&amp;Usage=2</w:t>
        </w:r>
      </w:hyperlink>
      <w:r w:rsidRPr="00C00F2A">
        <w:rPr>
          <w:sz w:val="22"/>
          <w:szCs w:val="22"/>
        </w:rPr>
        <w:t xml:space="preserve"> </w:t>
      </w:r>
    </w:p>
    <w:p w:rsidR="000957DB" w:rsidRPr="00C00F2A" w:rsidRDefault="000957DB" w:rsidP="00797DF8">
      <w:pPr>
        <w:jc w:val="both"/>
        <w:rPr>
          <w:sz w:val="22"/>
          <w:szCs w:val="22"/>
        </w:rPr>
      </w:pPr>
      <w:r w:rsidRPr="00C00F2A">
        <w:rPr>
          <w:sz w:val="22"/>
          <w:szCs w:val="22"/>
        </w:rPr>
        <w:t xml:space="preserve">Standardna pravila o izjednačavanju mogućnosti za osobe sa invaliditetom, Generalna skupština UN, A/RES/48/96 (1993), dostupno na: </w:t>
      </w:r>
      <w:hyperlink r:id="rId21" w:history="1">
        <w:r w:rsidR="00727BC1" w:rsidRPr="00C00F2A">
          <w:rPr>
            <w:rStyle w:val="Hyperlink"/>
            <w:sz w:val="22"/>
            <w:szCs w:val="22"/>
          </w:rPr>
          <w:t>http://www.un.org/esa/socdev/enable/dissre00.htm</w:t>
        </w:r>
      </w:hyperlink>
    </w:p>
    <w:p w:rsidR="008566A1" w:rsidRPr="00C00F2A" w:rsidRDefault="00727BC1" w:rsidP="00797DF8">
      <w:pPr>
        <w:jc w:val="both"/>
        <w:rPr>
          <w:sz w:val="22"/>
          <w:szCs w:val="22"/>
        </w:rPr>
      </w:pPr>
      <w:r w:rsidRPr="00C00F2A">
        <w:rPr>
          <w:sz w:val="22"/>
          <w:szCs w:val="22"/>
        </w:rPr>
        <w:t>Strategija za integraciju lica sa invaliditetom u Crnoj Gori do 2020. godine</w:t>
      </w:r>
    </w:p>
    <w:p w:rsidR="008566A1" w:rsidRPr="00C00F2A" w:rsidRDefault="008566A1" w:rsidP="008566A1">
      <w:pPr>
        <w:rPr>
          <w:sz w:val="22"/>
          <w:szCs w:val="22"/>
        </w:rPr>
      </w:pPr>
    </w:p>
    <w:p w:rsidR="008566A1" w:rsidRPr="00C00F2A" w:rsidRDefault="008566A1" w:rsidP="008566A1">
      <w:pPr>
        <w:rPr>
          <w:sz w:val="22"/>
          <w:szCs w:val="22"/>
        </w:rPr>
      </w:pPr>
    </w:p>
    <w:p w:rsidR="008566A1" w:rsidRPr="00C00F2A" w:rsidRDefault="008566A1" w:rsidP="008566A1">
      <w:pPr>
        <w:rPr>
          <w:sz w:val="22"/>
          <w:szCs w:val="22"/>
        </w:rPr>
      </w:pPr>
    </w:p>
    <w:p w:rsidR="00727BC1" w:rsidRPr="00C00F2A" w:rsidRDefault="00727BC1" w:rsidP="008566A1">
      <w:pPr>
        <w:jc w:val="center"/>
        <w:rPr>
          <w:sz w:val="22"/>
          <w:szCs w:val="22"/>
        </w:rPr>
      </w:pPr>
    </w:p>
    <w:sectPr w:rsidR="00727BC1" w:rsidRPr="00C00F2A">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6F272D" w15:done="0"/>
  <w15:commentEx w15:paraId="007DCBAE" w15:done="0"/>
  <w15:commentEx w15:paraId="0F18AD3C" w15:done="0"/>
  <w15:commentEx w15:paraId="7FB854F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406" w:rsidRDefault="00F67406" w:rsidP="00BB23E2">
      <w:pPr>
        <w:spacing w:before="0" w:after="0" w:line="240" w:lineRule="auto"/>
      </w:pPr>
      <w:r>
        <w:separator/>
      </w:r>
    </w:p>
  </w:endnote>
  <w:endnote w:type="continuationSeparator" w:id="0">
    <w:p w:rsidR="00F67406" w:rsidRDefault="00F67406" w:rsidP="00BB23E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06" w:rsidRDefault="00F67406" w:rsidP="009F1B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7406" w:rsidRDefault="00F67406" w:rsidP="00130CB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077544"/>
      <w:docPartObj>
        <w:docPartGallery w:val="Page Numbers (Bottom of Page)"/>
        <w:docPartUnique/>
      </w:docPartObj>
    </w:sdtPr>
    <w:sdtEndPr>
      <w:rPr>
        <w:noProof/>
      </w:rPr>
    </w:sdtEndPr>
    <w:sdtContent>
      <w:p w:rsidR="00F67406" w:rsidRDefault="00F67406">
        <w:pPr>
          <w:pStyle w:val="Footer"/>
          <w:jc w:val="right"/>
        </w:pPr>
        <w:r>
          <w:fldChar w:fldCharType="begin"/>
        </w:r>
        <w:r>
          <w:instrText xml:space="preserve"> PAGE   \* MERGEFORMAT </w:instrText>
        </w:r>
        <w:r>
          <w:fldChar w:fldCharType="separate"/>
        </w:r>
        <w:r w:rsidR="008932E1">
          <w:rPr>
            <w:noProof/>
          </w:rPr>
          <w:t>32</w:t>
        </w:r>
        <w:r>
          <w:rPr>
            <w:noProof/>
          </w:rPr>
          <w:fldChar w:fldCharType="end"/>
        </w:r>
      </w:p>
    </w:sdtContent>
  </w:sdt>
  <w:p w:rsidR="00F67406" w:rsidRDefault="00F6740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06" w:rsidRPr="003A019C" w:rsidRDefault="00F67406" w:rsidP="00C00F2A">
    <w:pPr>
      <w:pStyle w:val="Footer"/>
      <w:framePr w:w="10053" w:wrap="around" w:vAnchor="text" w:hAnchor="page" w:x="1305" w:y="200"/>
      <w:rPr>
        <w:rStyle w:val="PageNumber"/>
      </w:rPr>
    </w:pPr>
  </w:p>
  <w:p w:rsidR="00F67406" w:rsidRPr="007421CD" w:rsidRDefault="00F67406" w:rsidP="00C00F2A">
    <w:pPr>
      <w:framePr w:w="10053" w:wrap="around" w:vAnchor="text" w:hAnchor="page" w:x="1305" w:y="200"/>
      <w:tabs>
        <w:tab w:val="center" w:pos="4320"/>
        <w:tab w:val="right" w:pos="8640"/>
      </w:tabs>
      <w:rPr>
        <w:rFonts w:ascii="Times New Roman" w:eastAsia="Times New Roman" w:hAnsi="Times New Roman"/>
        <w:szCs w:val="24"/>
        <w:lang w:val="en-US"/>
      </w:rPr>
    </w:pPr>
    <w:r>
      <w:tab/>
    </w:r>
  </w:p>
  <w:p w:rsidR="00F67406" w:rsidRPr="007421CD" w:rsidRDefault="00F67406" w:rsidP="003A019C">
    <w:pPr>
      <w:tabs>
        <w:tab w:val="center" w:pos="4320"/>
        <w:tab w:val="right" w:pos="8640"/>
      </w:tabs>
      <w:ind w:left="1260"/>
      <w:rPr>
        <w:rFonts w:ascii="Arial Narrow" w:eastAsia="Times New Roman" w:hAnsi="Arial Narrow"/>
        <w:sz w:val="19"/>
        <w:szCs w:val="19"/>
        <w:lang w:val="en-US"/>
      </w:rPr>
    </w:pPr>
  </w:p>
  <w:p w:rsidR="00F67406" w:rsidRPr="003A019C" w:rsidRDefault="00F67406" w:rsidP="003A019C">
    <w:pPr>
      <w:tabs>
        <w:tab w:val="left" w:pos="1080"/>
        <w:tab w:val="center" w:pos="4320"/>
        <w:tab w:val="right" w:pos="8640"/>
      </w:tabs>
      <w:ind w:left="1080"/>
      <w:jc w:val="center"/>
    </w:pPr>
    <w:r w:rsidRPr="00265A25">
      <w:rPr>
        <w:rFonts w:asciiTheme="majorHAnsi" w:eastAsia="Times New Roman" w:hAnsiTheme="majorHAnsi"/>
        <w:noProof/>
        <w:sz w:val="18"/>
        <w:lang w:val="en-US"/>
      </w:rPr>
      <w:drawing>
        <wp:anchor distT="0" distB="0" distL="114300" distR="114300" simplePos="0" relativeHeight="251667456" behindDoc="1" locked="0" layoutInCell="1" allowOverlap="1" wp14:anchorId="4743EAC2" wp14:editId="1391EF38">
          <wp:simplePos x="0" y="0"/>
          <wp:positionH relativeFrom="column">
            <wp:posOffset>-11430</wp:posOffset>
          </wp:positionH>
          <wp:positionV relativeFrom="paragraph">
            <wp:posOffset>-109855</wp:posOffset>
          </wp:positionV>
          <wp:extent cx="640080" cy="367030"/>
          <wp:effectExtent l="0" t="0" r="7620" b="0"/>
          <wp:wrapNone/>
          <wp:docPr id="29" name="Picture 29" descr="http://tbn0.google.com/images?q=tbn:hdoFGoqqev9zlM:http://www.defmin.fi/files/703/textsize/EU_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n0.google.com/images?q=tbn:hdoFGoqqev9zlM:http://www.defmin.fi/files/703/textsize/EU_flag.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008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21CD">
      <w:rPr>
        <w:rFonts w:asciiTheme="majorHAnsi" w:eastAsia="Times New Roman" w:hAnsiTheme="majorHAnsi"/>
        <w:sz w:val="18"/>
        <w:lang w:val="sr-Cyrl-CS"/>
      </w:rPr>
      <w:t xml:space="preserve">Projekat </w:t>
    </w:r>
    <w:r>
      <w:rPr>
        <w:rFonts w:asciiTheme="majorHAnsi" w:eastAsia="Times New Roman" w:hAnsiTheme="majorHAnsi"/>
        <w:sz w:val="18"/>
      </w:rPr>
      <w:t xml:space="preserve">„Van izolacije – ostvarivanje prava pacijenata sa mentalnim oboljenjima“ </w:t>
    </w:r>
    <w:r w:rsidRPr="007421CD">
      <w:rPr>
        <w:rFonts w:asciiTheme="majorHAnsi" w:eastAsia="Times New Roman" w:hAnsiTheme="majorHAnsi"/>
        <w:sz w:val="18"/>
        <w:lang w:val="sr-Cyrl-CS"/>
      </w:rPr>
      <w:t>je podržala E</w:t>
    </w:r>
    <w:r>
      <w:rPr>
        <w:rFonts w:asciiTheme="majorHAnsi" w:eastAsia="Times New Roman" w:hAnsiTheme="majorHAnsi"/>
        <w:sz w:val="18"/>
      </w:rPr>
      <w:t xml:space="preserve">vropska </w:t>
    </w:r>
    <w:r w:rsidRPr="007421CD">
      <w:rPr>
        <w:rFonts w:asciiTheme="majorHAnsi" w:eastAsia="Times New Roman" w:hAnsiTheme="majorHAnsi"/>
        <w:sz w:val="18"/>
        <w:lang w:val="sr-Cyrl-CS"/>
      </w:rPr>
      <w:t>U</w:t>
    </w:r>
    <w:r>
      <w:rPr>
        <w:rFonts w:asciiTheme="majorHAnsi" w:eastAsia="Times New Roman" w:hAnsiTheme="majorHAnsi"/>
        <w:sz w:val="18"/>
      </w:rPr>
      <w:t>nija</w:t>
    </w:r>
    <w:r w:rsidRPr="007421CD">
      <w:rPr>
        <w:rFonts w:asciiTheme="majorHAnsi" w:eastAsia="Times New Roman" w:hAnsiTheme="majorHAnsi"/>
        <w:sz w:val="18"/>
        <w:lang w:val="sr-Cyrl-CS"/>
      </w:rPr>
      <w:t xml:space="preserve"> posredstvom</w:t>
    </w:r>
    <w:r w:rsidRPr="007421CD">
      <w:rPr>
        <w:rFonts w:asciiTheme="majorHAnsi" w:eastAsia="Times New Roman" w:hAnsiTheme="majorHAnsi"/>
        <w:sz w:val="18"/>
        <w:lang w:val="en-US"/>
      </w:rPr>
      <w:t xml:space="preserve"> </w:t>
    </w:r>
    <w:r w:rsidRPr="007421CD">
      <w:rPr>
        <w:rFonts w:asciiTheme="majorHAnsi" w:eastAsia="Times New Roman" w:hAnsiTheme="majorHAnsi"/>
        <w:sz w:val="18"/>
        <w:lang w:val="sr-Cyrl-CS"/>
      </w:rPr>
      <w:t>Delegac</w:t>
    </w:r>
    <w:r>
      <w:rPr>
        <w:rFonts w:asciiTheme="majorHAnsi" w:eastAsia="Times New Roman" w:hAnsiTheme="majorHAnsi"/>
        <w:sz w:val="18"/>
        <w:lang w:val="sr-Cyrl-CS"/>
      </w:rPr>
      <w:t>ije Evropske unije u Crnoj Gori</w:t>
    </w:r>
    <w:r>
      <w:rPr>
        <w:rFonts w:asciiTheme="majorHAnsi" w:eastAsia="Times New Roman" w:hAnsiTheme="majorHAnsi"/>
        <w:sz w:val="18"/>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406" w:rsidRDefault="00F67406" w:rsidP="00BB23E2">
      <w:pPr>
        <w:spacing w:before="0" w:after="0" w:line="240" w:lineRule="auto"/>
      </w:pPr>
      <w:r>
        <w:separator/>
      </w:r>
    </w:p>
  </w:footnote>
  <w:footnote w:type="continuationSeparator" w:id="0">
    <w:p w:rsidR="00F67406" w:rsidRDefault="00F67406" w:rsidP="00BB23E2">
      <w:pPr>
        <w:spacing w:before="0" w:after="0" w:line="240" w:lineRule="auto"/>
      </w:pPr>
      <w:r>
        <w:continuationSeparator/>
      </w:r>
    </w:p>
  </w:footnote>
  <w:footnote w:id="1">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Strategija za Integraciju osoba sa invaliditetom u Crnoj Gori za period 2008 – 2016, </w:t>
      </w:r>
    </w:p>
    <w:p w:rsidR="00F67406" w:rsidRPr="00B52F15" w:rsidRDefault="008932E1" w:rsidP="006A2D2C">
      <w:pPr>
        <w:pStyle w:val="FootnoteText"/>
        <w:jc w:val="both"/>
        <w:rPr>
          <w:sz w:val="18"/>
        </w:rPr>
      </w:pPr>
      <w:hyperlink r:id="rId1" w:history="1">
        <w:r w:rsidR="00F67406" w:rsidRPr="00B52F15">
          <w:rPr>
            <w:rStyle w:val="Hyperlink"/>
            <w:sz w:val="18"/>
          </w:rPr>
          <w:t>http://www.mrs.gov.me/ResourceManager/FileDownload.aspx?rId=93285&amp;rType=2</w:t>
        </w:r>
      </w:hyperlink>
      <w:r w:rsidR="00F67406" w:rsidRPr="00B52F15">
        <w:rPr>
          <w:sz w:val="18"/>
        </w:rPr>
        <w:t xml:space="preserve"> (pristupljeno 13.01.2017. godine). </w:t>
      </w:r>
    </w:p>
  </w:footnote>
  <w:footnote w:id="2">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w:t>
      </w:r>
      <w:r w:rsidRPr="00B52F15">
        <w:rPr>
          <w:i/>
          <w:sz w:val="18"/>
        </w:rPr>
        <w:t>„Službeni list CG – Međunarodni ugovori“</w:t>
      </w:r>
      <w:r w:rsidRPr="00B52F15">
        <w:rPr>
          <w:sz w:val="18"/>
        </w:rPr>
        <w:t xml:space="preserve"> 2/2009.</w:t>
      </w:r>
    </w:p>
  </w:footnote>
  <w:footnote w:id="3">
    <w:p w:rsidR="00F67406" w:rsidRPr="00B52F15" w:rsidRDefault="00F67406" w:rsidP="006A2D2C">
      <w:pPr>
        <w:pStyle w:val="FootnoteText"/>
        <w:jc w:val="both"/>
        <w:rPr>
          <w:sz w:val="18"/>
          <w:lang w:val="en-US"/>
        </w:rPr>
      </w:pPr>
      <w:r w:rsidRPr="00B52F15">
        <w:rPr>
          <w:rStyle w:val="FootnoteReference"/>
          <w:sz w:val="18"/>
        </w:rPr>
        <w:footnoteRef/>
      </w:r>
      <w:r w:rsidRPr="00B52F15">
        <w:rPr>
          <w:sz w:val="18"/>
        </w:rPr>
        <w:t xml:space="preserve"> </w:t>
      </w:r>
      <w:r w:rsidRPr="00B52F15">
        <w:rPr>
          <w:sz w:val="18"/>
          <w:lang w:val="en-US"/>
        </w:rPr>
        <w:t xml:space="preserve">U </w:t>
      </w:r>
      <w:proofErr w:type="spellStart"/>
      <w:r w:rsidRPr="00B52F15">
        <w:rPr>
          <w:sz w:val="18"/>
          <w:lang w:val="en-US"/>
        </w:rPr>
        <w:t>Specijalnoj</w:t>
      </w:r>
      <w:proofErr w:type="spellEnd"/>
      <w:r w:rsidRPr="00B52F15">
        <w:rPr>
          <w:sz w:val="18"/>
          <w:lang w:val="en-US"/>
        </w:rPr>
        <w:t xml:space="preserve"> </w:t>
      </w:r>
      <w:proofErr w:type="spellStart"/>
      <w:r w:rsidRPr="00B52F15">
        <w:rPr>
          <w:sz w:val="18"/>
          <w:lang w:val="en-US"/>
        </w:rPr>
        <w:t>psihijatrijskoj</w:t>
      </w:r>
      <w:proofErr w:type="spellEnd"/>
      <w:r w:rsidRPr="00B52F15">
        <w:rPr>
          <w:sz w:val="18"/>
          <w:lang w:val="en-US"/>
        </w:rPr>
        <w:t xml:space="preserve"> </w:t>
      </w:r>
      <w:proofErr w:type="spellStart"/>
      <w:r w:rsidRPr="00B52F15">
        <w:rPr>
          <w:sz w:val="18"/>
          <w:lang w:val="en-US"/>
        </w:rPr>
        <w:t>bolnici</w:t>
      </w:r>
      <w:proofErr w:type="spellEnd"/>
      <w:r w:rsidRPr="00B52F15">
        <w:rPr>
          <w:sz w:val="18"/>
          <w:lang w:val="en-US"/>
        </w:rPr>
        <w:t xml:space="preserve"> u </w:t>
      </w:r>
      <w:proofErr w:type="spellStart"/>
      <w:r w:rsidRPr="00B52F15">
        <w:rPr>
          <w:sz w:val="18"/>
          <w:lang w:val="en-US"/>
        </w:rPr>
        <w:t>Kotoru</w:t>
      </w:r>
      <w:proofErr w:type="spellEnd"/>
      <w:r w:rsidRPr="00B52F15">
        <w:rPr>
          <w:sz w:val="18"/>
          <w:lang w:val="en-US"/>
        </w:rPr>
        <w:t xml:space="preserve"> </w:t>
      </w:r>
      <w:proofErr w:type="spellStart"/>
      <w:r w:rsidRPr="00B52F15">
        <w:rPr>
          <w:sz w:val="18"/>
          <w:lang w:val="en-US"/>
        </w:rPr>
        <w:t>gotovo</w:t>
      </w:r>
      <w:proofErr w:type="spellEnd"/>
      <w:r w:rsidRPr="00B52F15">
        <w:rPr>
          <w:sz w:val="18"/>
          <w:lang w:val="en-US"/>
        </w:rPr>
        <w:t xml:space="preserve"> </w:t>
      </w:r>
      <w:proofErr w:type="spellStart"/>
      <w:r w:rsidRPr="00B52F15">
        <w:rPr>
          <w:sz w:val="18"/>
          <w:lang w:val="en-US"/>
        </w:rPr>
        <w:t>trećina</w:t>
      </w:r>
      <w:proofErr w:type="spellEnd"/>
      <w:r w:rsidRPr="00B52F15">
        <w:rPr>
          <w:sz w:val="18"/>
          <w:lang w:val="en-US"/>
        </w:rPr>
        <w:t xml:space="preserve"> </w:t>
      </w:r>
      <w:proofErr w:type="spellStart"/>
      <w:r w:rsidRPr="00B52F15">
        <w:rPr>
          <w:sz w:val="18"/>
          <w:lang w:val="en-US"/>
        </w:rPr>
        <w:t>pacijenata</w:t>
      </w:r>
      <w:proofErr w:type="spellEnd"/>
      <w:r w:rsidRPr="00B52F15">
        <w:rPr>
          <w:sz w:val="18"/>
          <w:lang w:val="en-US"/>
        </w:rPr>
        <w:t xml:space="preserve"> </w:t>
      </w:r>
      <w:proofErr w:type="spellStart"/>
      <w:r w:rsidRPr="00B52F15">
        <w:rPr>
          <w:sz w:val="18"/>
          <w:lang w:val="en-US"/>
        </w:rPr>
        <w:t>i</w:t>
      </w:r>
      <w:proofErr w:type="spellEnd"/>
      <w:r w:rsidRPr="00B52F15">
        <w:rPr>
          <w:sz w:val="18"/>
          <w:lang w:val="en-US"/>
        </w:rPr>
        <w:t xml:space="preserve"> </w:t>
      </w:r>
      <w:proofErr w:type="spellStart"/>
      <w:r w:rsidRPr="00B52F15">
        <w:rPr>
          <w:sz w:val="18"/>
          <w:lang w:val="en-US"/>
        </w:rPr>
        <w:t>dalje</w:t>
      </w:r>
      <w:proofErr w:type="spellEnd"/>
      <w:r w:rsidRPr="00B52F15">
        <w:rPr>
          <w:sz w:val="18"/>
          <w:lang w:val="en-US"/>
        </w:rPr>
        <w:t xml:space="preserve"> </w:t>
      </w:r>
      <w:proofErr w:type="spellStart"/>
      <w:r w:rsidRPr="00B52F15">
        <w:rPr>
          <w:sz w:val="18"/>
          <w:lang w:val="en-US"/>
        </w:rPr>
        <w:t>boravi</w:t>
      </w:r>
      <w:proofErr w:type="spellEnd"/>
      <w:r w:rsidRPr="00B52F15">
        <w:rPr>
          <w:sz w:val="18"/>
          <w:lang w:val="en-US"/>
        </w:rPr>
        <w:t xml:space="preserve">, </w:t>
      </w:r>
      <w:proofErr w:type="spellStart"/>
      <w:r w:rsidRPr="00B52F15">
        <w:rPr>
          <w:sz w:val="18"/>
          <w:lang w:val="en-US"/>
        </w:rPr>
        <w:t>iako</w:t>
      </w:r>
      <w:proofErr w:type="spellEnd"/>
      <w:r w:rsidRPr="00B52F15">
        <w:rPr>
          <w:sz w:val="18"/>
          <w:lang w:val="en-US"/>
        </w:rPr>
        <w:t xml:space="preserve"> </w:t>
      </w:r>
      <w:proofErr w:type="spellStart"/>
      <w:r w:rsidRPr="00B52F15">
        <w:rPr>
          <w:sz w:val="18"/>
          <w:lang w:val="en-US"/>
        </w:rPr>
        <w:t>više</w:t>
      </w:r>
      <w:proofErr w:type="spellEnd"/>
      <w:r w:rsidRPr="00B52F15">
        <w:rPr>
          <w:sz w:val="18"/>
          <w:lang w:val="en-US"/>
        </w:rPr>
        <w:t xml:space="preserve"> ne </w:t>
      </w:r>
      <w:proofErr w:type="spellStart"/>
      <w:r w:rsidRPr="00B52F15">
        <w:rPr>
          <w:sz w:val="18"/>
          <w:lang w:val="en-US"/>
        </w:rPr>
        <w:t>postoji</w:t>
      </w:r>
      <w:proofErr w:type="spellEnd"/>
      <w:r w:rsidRPr="00B52F15">
        <w:rPr>
          <w:sz w:val="18"/>
          <w:lang w:val="en-US"/>
        </w:rPr>
        <w:t xml:space="preserve"> </w:t>
      </w:r>
      <w:proofErr w:type="spellStart"/>
      <w:r w:rsidRPr="00B52F15">
        <w:rPr>
          <w:sz w:val="18"/>
          <w:lang w:val="en-US"/>
        </w:rPr>
        <w:t>potreba</w:t>
      </w:r>
      <w:proofErr w:type="spellEnd"/>
      <w:r w:rsidRPr="00B52F15">
        <w:rPr>
          <w:sz w:val="18"/>
          <w:lang w:val="en-US"/>
        </w:rPr>
        <w:t xml:space="preserve"> </w:t>
      </w:r>
      <w:proofErr w:type="spellStart"/>
      <w:r w:rsidRPr="00B52F15">
        <w:rPr>
          <w:sz w:val="18"/>
          <w:lang w:val="en-US"/>
        </w:rPr>
        <w:t>za</w:t>
      </w:r>
      <w:proofErr w:type="spellEnd"/>
      <w:r w:rsidRPr="00B52F15">
        <w:rPr>
          <w:sz w:val="18"/>
          <w:lang w:val="en-US"/>
        </w:rPr>
        <w:t xml:space="preserve"> </w:t>
      </w:r>
      <w:proofErr w:type="spellStart"/>
      <w:r w:rsidRPr="00B52F15">
        <w:rPr>
          <w:sz w:val="18"/>
          <w:lang w:val="en-US"/>
        </w:rPr>
        <w:t>njihovim</w:t>
      </w:r>
      <w:proofErr w:type="spellEnd"/>
      <w:r w:rsidRPr="00B52F15">
        <w:rPr>
          <w:sz w:val="18"/>
          <w:lang w:val="en-US"/>
        </w:rPr>
        <w:t xml:space="preserve"> </w:t>
      </w:r>
      <w:proofErr w:type="spellStart"/>
      <w:r w:rsidRPr="00B52F15">
        <w:rPr>
          <w:sz w:val="18"/>
          <w:lang w:val="en-US"/>
        </w:rPr>
        <w:t>bolničkim</w:t>
      </w:r>
      <w:proofErr w:type="spellEnd"/>
      <w:r w:rsidRPr="00B52F15">
        <w:rPr>
          <w:sz w:val="18"/>
          <w:lang w:val="en-US"/>
        </w:rPr>
        <w:t xml:space="preserve"> </w:t>
      </w:r>
      <w:proofErr w:type="spellStart"/>
      <w:r w:rsidRPr="00B52F15">
        <w:rPr>
          <w:sz w:val="18"/>
          <w:lang w:val="en-US"/>
        </w:rPr>
        <w:t>liječenjem</w:t>
      </w:r>
      <w:proofErr w:type="spellEnd"/>
      <w:r w:rsidRPr="00B52F15">
        <w:rPr>
          <w:sz w:val="18"/>
          <w:lang w:val="en-US"/>
        </w:rPr>
        <w:t xml:space="preserve">, </w:t>
      </w:r>
      <w:proofErr w:type="spellStart"/>
      <w:r w:rsidRPr="00B52F15">
        <w:rPr>
          <w:sz w:val="18"/>
          <w:lang w:val="en-US"/>
        </w:rPr>
        <w:t>detaljnije</w:t>
      </w:r>
      <w:proofErr w:type="spellEnd"/>
      <w:r w:rsidRPr="00B52F15">
        <w:rPr>
          <w:sz w:val="18"/>
          <w:lang w:val="en-US"/>
        </w:rPr>
        <w:t xml:space="preserve"> u </w:t>
      </w:r>
      <w:proofErr w:type="spellStart"/>
      <w:r w:rsidRPr="00B52F15">
        <w:rPr>
          <w:sz w:val="18"/>
          <w:lang w:val="en-US"/>
        </w:rPr>
        <w:t>nastavku</w:t>
      </w:r>
      <w:proofErr w:type="spellEnd"/>
      <w:r w:rsidRPr="00B52F15">
        <w:rPr>
          <w:sz w:val="18"/>
          <w:lang w:val="en-US"/>
        </w:rPr>
        <w:t xml:space="preserve"> </w:t>
      </w:r>
      <w:proofErr w:type="spellStart"/>
      <w:proofErr w:type="gramStart"/>
      <w:r w:rsidRPr="00B52F15">
        <w:rPr>
          <w:sz w:val="18"/>
          <w:lang w:val="en-US"/>
        </w:rPr>
        <w:t>na</w:t>
      </w:r>
      <w:proofErr w:type="spellEnd"/>
      <w:proofErr w:type="gramEnd"/>
      <w:r w:rsidRPr="00B52F15">
        <w:rPr>
          <w:sz w:val="18"/>
          <w:lang w:val="en-US"/>
        </w:rPr>
        <w:t xml:space="preserve"> </w:t>
      </w:r>
      <w:proofErr w:type="spellStart"/>
      <w:r w:rsidRPr="00B52F15">
        <w:rPr>
          <w:sz w:val="18"/>
          <w:lang w:val="en-US"/>
        </w:rPr>
        <w:t>strani</w:t>
      </w:r>
      <w:proofErr w:type="spellEnd"/>
      <w:r w:rsidRPr="00B52F15">
        <w:rPr>
          <w:sz w:val="18"/>
          <w:lang w:val="en-US"/>
        </w:rPr>
        <w:t xml:space="preserve"> 37.</w:t>
      </w:r>
    </w:p>
  </w:footnote>
  <w:footnote w:id="4">
    <w:p w:rsidR="00F67406" w:rsidRPr="00B52F15" w:rsidRDefault="00F67406" w:rsidP="006A2D2C">
      <w:pPr>
        <w:pStyle w:val="FootnoteText"/>
        <w:jc w:val="both"/>
        <w:rPr>
          <w:sz w:val="18"/>
          <w:lang w:val="en-US"/>
        </w:rPr>
      </w:pPr>
      <w:r w:rsidRPr="00B52F15">
        <w:rPr>
          <w:rStyle w:val="FootnoteReference"/>
          <w:sz w:val="18"/>
        </w:rPr>
        <w:footnoteRef/>
      </w:r>
      <w:r w:rsidRPr="00B52F15">
        <w:rPr>
          <w:sz w:val="18"/>
        </w:rPr>
        <w:t xml:space="preserve"> Stanojković, M. Stručno-metodološko uputstvo za formiranje službi za zaštitu mentalnog zdravlja u zajednici : koncept zaštite mentalnog zdravlja u zajednici, Zbirka radova i preporuka – poslovna sposobnost i život u zajednici: zaštita prava osoba sa invaliditetom, MDRI-S, 2014.</w:t>
      </w:r>
    </w:p>
  </w:footnote>
  <w:footnote w:id="5">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Mansell J, Knapp M, Beadle-Brown J and Beecham, J (2007) Deinstitutionalisation and community living – outcomes and costs: report of a European Study. Volume 2: Main Report. Canterbury: Tizard Centre, University of</w:t>
      </w:r>
    </w:p>
    <w:p w:rsidR="00F67406" w:rsidRPr="00B52F15" w:rsidRDefault="00F67406" w:rsidP="006A2D2C">
      <w:pPr>
        <w:pStyle w:val="FootnoteText"/>
        <w:jc w:val="both"/>
        <w:rPr>
          <w:sz w:val="18"/>
        </w:rPr>
      </w:pPr>
      <w:r w:rsidRPr="00B52F15">
        <w:rPr>
          <w:sz w:val="18"/>
        </w:rPr>
        <w:t>Kent.</w:t>
      </w:r>
    </w:p>
  </w:footnote>
  <w:footnote w:id="6">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w:t>
      </w:r>
      <w:hyperlink r:id="rId2" w:history="1">
        <w:r w:rsidRPr="00B52F15">
          <w:rPr>
            <w:rStyle w:val="Hyperlink"/>
            <w:sz w:val="18"/>
          </w:rPr>
          <w:t>http://www.euro.who.int/en/health-topics/noncommunicable-diseases/mental-health/priority-areas/services-and-deinstitutionalization</w:t>
        </w:r>
      </w:hyperlink>
      <w:r w:rsidRPr="00B52F15">
        <w:rPr>
          <w:sz w:val="18"/>
        </w:rPr>
        <w:t xml:space="preserve"> (pristupljeno 31.12.2016.godine).</w:t>
      </w:r>
    </w:p>
  </w:footnote>
  <w:footnote w:id="7">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The European Mental Health Action Plan, Sixty-third session of the WHO Regional Committee for Europe.</w:t>
      </w:r>
    </w:p>
    <w:p w:rsidR="00F67406" w:rsidRPr="00B52F15" w:rsidRDefault="00F67406" w:rsidP="006A2D2C">
      <w:pPr>
        <w:pStyle w:val="FootnoteText"/>
        <w:jc w:val="both"/>
        <w:rPr>
          <w:sz w:val="18"/>
        </w:rPr>
      </w:pPr>
      <w:r w:rsidRPr="00B52F15">
        <w:rPr>
          <w:sz w:val="18"/>
        </w:rPr>
        <w:t xml:space="preserve">Çeşme Izmir, Turkey, 16–19 September 2013, </w:t>
      </w:r>
      <w:r w:rsidRPr="00B52F15">
        <w:rPr>
          <w:sz w:val="18"/>
        </w:rPr>
        <w:t xml:space="preserve">EUR/RC63/11, </w:t>
      </w:r>
      <w:r>
        <w:fldChar w:fldCharType="begin"/>
      </w:r>
      <w:r>
        <w:instrText xml:space="preserve"> HYPERLINK "http://www.euro.who.int/en/health-topics/noncommunicable-diseases/mental-health/publications/2013/the-european-mental-health-action-plan" </w:instrText>
      </w:r>
      <w:r>
        <w:fldChar w:fldCharType="separate"/>
      </w:r>
      <w:r w:rsidRPr="00B52F15">
        <w:rPr>
          <w:rStyle w:val="Hyperlink"/>
          <w:sz w:val="18"/>
        </w:rPr>
        <w:t>http://www.euro.who.int/en/health-topics/noncommunicable-diseases/mental-health/publications/2013/the-european-mental-health-action-plan</w:t>
      </w:r>
      <w:r>
        <w:rPr>
          <w:rStyle w:val="Hyperlink"/>
          <w:sz w:val="18"/>
        </w:rPr>
        <w:fldChar w:fldCharType="end"/>
      </w:r>
      <w:r w:rsidRPr="00B52F15">
        <w:rPr>
          <w:sz w:val="18"/>
        </w:rPr>
        <w:t xml:space="preserve"> (pristupljeno 31.12.2016.godine).</w:t>
      </w:r>
    </w:p>
  </w:footnote>
  <w:footnote w:id="8">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w:t>
      </w:r>
      <w:r w:rsidRPr="00B52F15">
        <w:rPr>
          <w:sz w:val="18"/>
        </w:rPr>
        <w:t xml:space="preserve">Grunvald, 2003, izvor: Jedinstvene evropske smjernice za prelazak sa institucionalne zaštite na brigu i podršku u zajednici, </w:t>
      </w:r>
      <w:proofErr w:type="spellStart"/>
      <w:r w:rsidRPr="00B52F15">
        <w:rPr>
          <w:sz w:val="18"/>
          <w:lang w:val="en-US"/>
        </w:rPr>
        <w:t>Evropska</w:t>
      </w:r>
      <w:proofErr w:type="spellEnd"/>
      <w:r w:rsidRPr="00B52F15">
        <w:rPr>
          <w:sz w:val="18"/>
          <w:lang w:val="en-US"/>
        </w:rPr>
        <w:t xml:space="preserve"> </w:t>
      </w:r>
      <w:proofErr w:type="spellStart"/>
      <w:r w:rsidRPr="00B52F15">
        <w:rPr>
          <w:sz w:val="18"/>
          <w:lang w:val="en-US"/>
        </w:rPr>
        <w:t>ekspertska</w:t>
      </w:r>
      <w:proofErr w:type="spellEnd"/>
      <w:r w:rsidRPr="00B52F15">
        <w:rPr>
          <w:sz w:val="18"/>
          <w:lang w:val="en-US"/>
        </w:rPr>
        <w:t xml:space="preserve"> </w:t>
      </w:r>
      <w:proofErr w:type="spellStart"/>
      <w:r w:rsidRPr="00B52F15">
        <w:rPr>
          <w:sz w:val="18"/>
          <w:lang w:val="en-US"/>
        </w:rPr>
        <w:t>grupa</w:t>
      </w:r>
      <w:proofErr w:type="spellEnd"/>
      <w:r w:rsidRPr="00B52F15">
        <w:rPr>
          <w:sz w:val="18"/>
          <w:lang w:val="en-US"/>
        </w:rPr>
        <w:t xml:space="preserve"> </w:t>
      </w:r>
      <w:r w:rsidRPr="00B52F15">
        <w:rPr>
          <w:sz w:val="18"/>
        </w:rPr>
        <w:t>za prelazak sa institucionalne na brigu i podršku u zajednici, Brisel 2012.</w:t>
      </w:r>
    </w:p>
  </w:footnote>
  <w:footnote w:id="9">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w:t>
      </w:r>
      <w:r w:rsidRPr="00B52F15">
        <w:rPr>
          <w:i/>
          <w:sz w:val="18"/>
        </w:rPr>
        <w:t>Službeni list CG – Međunarodni ugovori</w:t>
      </w:r>
      <w:r w:rsidRPr="00B52F15">
        <w:rPr>
          <w:sz w:val="18"/>
        </w:rPr>
        <w:t>“ 2/2009.</w:t>
      </w:r>
    </w:p>
  </w:footnote>
  <w:footnote w:id="10">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Zakon o ratifikaciji Evropske konvencije za zaštitu ljudskih prava i osnovnih sloboda, "Službeni list SCG - Međunarodni ugovori", br. 9/2003 i 5/2005.</w:t>
      </w:r>
    </w:p>
  </w:footnote>
  <w:footnote w:id="11">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w:t>
      </w:r>
      <w:r w:rsidRPr="00B52F15">
        <w:rPr>
          <w:i/>
          <w:sz w:val="18"/>
        </w:rPr>
        <w:t>Stanev protiv Bugarske</w:t>
      </w:r>
      <w:r w:rsidRPr="00B52F15">
        <w:rPr>
          <w:sz w:val="18"/>
        </w:rPr>
        <w:t xml:space="preserve"> 36760/06 (2012) ECHR 46, (2012).</w:t>
      </w:r>
    </w:p>
  </w:footnote>
  <w:footnote w:id="12">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Savjet Evrope, Komesar za ljudska prava, </w:t>
      </w:r>
      <w:r w:rsidRPr="00B52F15">
        <w:rPr>
          <w:i/>
          <w:sz w:val="18"/>
        </w:rPr>
        <w:t xml:space="preserve">Ko može da odlučuje? Pravo na poslovnu sposobnost za lica sa intelektualnim i psihosocijalnim invaliditetom, </w:t>
      </w:r>
      <w:r w:rsidRPr="00B52F15">
        <w:rPr>
          <w:sz w:val="18"/>
        </w:rPr>
        <w:t>CommDH/Isse Paper (2012)2, str.5.</w:t>
      </w:r>
    </w:p>
  </w:footnote>
  <w:footnote w:id="13">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Dimitrova Marieta i Hristakieva Valentina, Effective rights for mental health patients-Bulgaria, 2016 (dokument u posjedu Akcije za ljudska prava).</w:t>
      </w:r>
    </w:p>
  </w:footnote>
  <w:footnote w:id="14">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AJUPID Vodič obećavajućih praksi po pitanju poslovne sposobnosti i pristupa pravdi, dostupno na: </w:t>
      </w:r>
      <w:hyperlink r:id="rId3" w:history="1">
        <w:r w:rsidRPr="00B52F15">
          <w:rPr>
            <w:rStyle w:val="Hyperlink"/>
            <w:sz w:val="18"/>
          </w:rPr>
          <w:t>http://www.ajupid.eu/images/documents/promising_pratices/BAG_AJUPID_UK_2015_BV.pdf</w:t>
        </w:r>
      </w:hyperlink>
      <w:r w:rsidRPr="00B52F15">
        <w:rPr>
          <w:sz w:val="18"/>
        </w:rPr>
        <w:t xml:space="preserve">. </w:t>
      </w:r>
    </w:p>
  </w:footnote>
  <w:footnote w:id="15">
    <w:p w:rsidR="00F67406" w:rsidRPr="00B52F15" w:rsidRDefault="00F67406" w:rsidP="006A2D2C">
      <w:pPr>
        <w:pStyle w:val="FootnoteText"/>
        <w:jc w:val="both"/>
        <w:rPr>
          <w:sz w:val="18"/>
          <w:lang w:val="en-US"/>
        </w:rPr>
      </w:pPr>
      <w:r w:rsidRPr="00B52F15">
        <w:rPr>
          <w:rStyle w:val="FootnoteReference"/>
          <w:sz w:val="18"/>
        </w:rPr>
        <w:footnoteRef/>
      </w:r>
      <w:r w:rsidRPr="00B52F15">
        <w:rPr>
          <w:sz w:val="18"/>
        </w:rPr>
        <w:t xml:space="preserve"> U Bugarskoj postoji djelimično i potpuno lišenje poslovne sposobnosti. Prema podacima iz 2012. godine, 7.500 osoba je lišeno poslovne sposobnosti, od kojih je polovina smještena u specijalizovane institucije. Preko 80% osoba koje su institucijama lišene su poslovne sposobnosti i često im je direktor institucije postavljen za staratelja. </w:t>
      </w:r>
    </w:p>
  </w:footnote>
  <w:footnote w:id="16">
    <w:p w:rsidR="00F67406" w:rsidRPr="00B52F15" w:rsidRDefault="00F67406" w:rsidP="006A2D2C">
      <w:pPr>
        <w:pStyle w:val="FootnoteText"/>
        <w:rPr>
          <w:sz w:val="18"/>
        </w:rPr>
      </w:pPr>
      <w:r w:rsidRPr="00B52F15">
        <w:rPr>
          <w:rStyle w:val="FootnoteReference"/>
          <w:sz w:val="18"/>
        </w:rPr>
        <w:footnoteRef/>
      </w:r>
      <w:r w:rsidRPr="00B52F15">
        <w:rPr>
          <w:sz w:val="18"/>
        </w:rPr>
        <w:t xml:space="preserve"> Izvor: </w:t>
      </w:r>
      <w:hyperlink r:id="rId4" w:history="1">
        <w:r w:rsidRPr="00B52F15">
          <w:rPr>
            <w:rStyle w:val="Hyperlink"/>
            <w:sz w:val="18"/>
          </w:rPr>
          <w:t>http://ec.europa.eu/regional_policy/en/policy/themes/social-inclusion/desinstit/</w:t>
        </w:r>
      </w:hyperlink>
      <w:r w:rsidRPr="00B52F15">
        <w:rPr>
          <w:sz w:val="18"/>
        </w:rPr>
        <w:t xml:space="preserve"> (pristupljeno 30.12.2016.godine).</w:t>
      </w:r>
    </w:p>
  </w:footnote>
  <w:footnote w:id="17">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Sadrži mjere kojima se ublažava disparitet i ujednačavaju mogućnosti različitih zemalja članica EU (po pitanju prihoda, bogatstva ili mogućnosti).</w:t>
      </w:r>
    </w:p>
  </w:footnote>
  <w:footnote w:id="18">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Internal Guidance on Ex Ante Conditionalities for the European Structural and Investment Funds, 2014, </w:t>
      </w:r>
      <w:hyperlink r:id="rId5" w:history="1">
        <w:r w:rsidRPr="00B52F15">
          <w:rPr>
            <w:rStyle w:val="Hyperlink"/>
            <w:sz w:val="18"/>
          </w:rPr>
          <w:t>http://ec.europa.eu/regional_policy/index.cfm/en/information/legislation/guidance/</w:t>
        </w:r>
      </w:hyperlink>
      <w:r w:rsidRPr="00B52F15">
        <w:rPr>
          <w:sz w:val="18"/>
        </w:rPr>
        <w:t xml:space="preserve"> (pristupljeno 13.01.2017. godine).</w:t>
      </w:r>
      <w:r w:rsidRPr="00B52F15">
        <w:rPr>
          <w:sz w:val="18"/>
        </w:rPr>
        <w:cr/>
      </w:r>
    </w:p>
  </w:footnote>
  <w:footnote w:id="19">
    <w:p w:rsidR="00F67406" w:rsidRPr="00B52F15" w:rsidRDefault="00F67406" w:rsidP="006A2D2C">
      <w:pPr>
        <w:pStyle w:val="FootnoteText"/>
        <w:rPr>
          <w:sz w:val="18"/>
        </w:rPr>
      </w:pPr>
      <w:r w:rsidRPr="00B52F15">
        <w:rPr>
          <w:rStyle w:val="FootnoteReference"/>
          <w:sz w:val="18"/>
        </w:rPr>
        <w:footnoteRef/>
      </w:r>
      <w:r w:rsidRPr="00B52F15">
        <w:rPr>
          <w:sz w:val="18"/>
        </w:rPr>
        <w:t xml:space="preserve"> National service framework for mental health, 1999, </w:t>
      </w:r>
      <w:hyperlink r:id="rId6" w:history="1">
        <w:r w:rsidRPr="00B52F15">
          <w:rPr>
            <w:rStyle w:val="Hyperlink"/>
            <w:sz w:val="18"/>
          </w:rPr>
          <w:t>https://www.gov.uk/government/uploads/system/uploads/attachment_data/file/198051/National_Service_Framework_for_Mental_Health.pdf</w:t>
        </w:r>
      </w:hyperlink>
      <w:r w:rsidRPr="00B52F15">
        <w:rPr>
          <w:sz w:val="18"/>
        </w:rPr>
        <w:t xml:space="preserve"> (pristupljeno 13.01.2017. godine).</w:t>
      </w:r>
    </w:p>
  </w:footnote>
  <w:footnote w:id="20">
    <w:p w:rsidR="00F67406" w:rsidRPr="00B52F15" w:rsidRDefault="00F67406" w:rsidP="00B52F15">
      <w:pPr>
        <w:pStyle w:val="FootnoteText"/>
        <w:rPr>
          <w:sz w:val="18"/>
        </w:rPr>
      </w:pPr>
      <w:r w:rsidRPr="00B52F15">
        <w:rPr>
          <w:rStyle w:val="FootnoteReference"/>
          <w:sz w:val="18"/>
        </w:rPr>
        <w:footnoteRef/>
      </w:r>
      <w:r w:rsidRPr="00B52F15">
        <w:rPr>
          <w:sz w:val="18"/>
        </w:rPr>
        <w:t xml:space="preserve"> </w:t>
      </w:r>
      <w:hyperlink r:id="rId7" w:history="1">
        <w:r w:rsidRPr="00B52F15">
          <w:rPr>
            <w:rStyle w:val="Hyperlink"/>
            <w:sz w:val="18"/>
          </w:rPr>
          <w:t>http://www.mindfreedom.org/kb/mental-health-alternatives/finland-open-dialogue/open-dialogue-finland-outcomes.pdf/at_download/file</w:t>
        </w:r>
      </w:hyperlink>
      <w:r w:rsidRPr="00B52F15">
        <w:rPr>
          <w:sz w:val="18"/>
        </w:rPr>
        <w:t xml:space="preserve">. </w:t>
      </w:r>
    </w:p>
  </w:footnote>
  <w:footnote w:id="21">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Izvor: Jedinstvene evropske smjernice za prelazak sa institucionalne zaštite na brigu i podršku u zajednici.</w:t>
      </w:r>
    </w:p>
  </w:footnote>
  <w:footnote w:id="22">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Izvor informacija: Valentina Hristakeva (direktorka </w:t>
      </w:r>
      <w:r w:rsidRPr="00B52F15">
        <w:rPr>
          <w:i/>
          <w:sz w:val="18"/>
        </w:rPr>
        <w:t>Global Initiative on Psychiatry</w:t>
      </w:r>
      <w:r w:rsidRPr="00B52F15">
        <w:rPr>
          <w:sz w:val="18"/>
        </w:rPr>
        <w:t>-Sofia) i Marieta Dimitrova (konsultantkinja u oblasti prava, Bugarski centar za neprofitno pravo).</w:t>
      </w:r>
    </w:p>
  </w:footnote>
  <w:footnote w:id="23">
    <w:p w:rsidR="00F67406" w:rsidRPr="00B52F15" w:rsidRDefault="00F67406" w:rsidP="006A2D2C">
      <w:pPr>
        <w:pStyle w:val="FootnoteText"/>
        <w:rPr>
          <w:sz w:val="18"/>
        </w:rPr>
      </w:pPr>
      <w:r w:rsidRPr="00B52F15">
        <w:rPr>
          <w:rStyle w:val="FootnoteReference"/>
          <w:sz w:val="18"/>
        </w:rPr>
        <w:footnoteRef/>
      </w:r>
      <w:r w:rsidRPr="00B52F15">
        <w:rPr>
          <w:sz w:val="18"/>
        </w:rPr>
        <w:t xml:space="preserve"> Nacionalna strategija za dugoročnu njegu, 2014: </w:t>
      </w:r>
      <w:hyperlink r:id="rId8" w:history="1">
        <w:r w:rsidRPr="00B52F15">
          <w:rPr>
            <w:rStyle w:val="Hyperlink"/>
            <w:sz w:val="18"/>
          </w:rPr>
          <w:t>https://www.mlsp.government.bg/ckfinder/userfiles/files/politiki/socialni%20uslugi/deinstitucionalizaciq%20na%20grijata%20za%20vuzrastni%20hora%20i%20hora%20s%20uvrejdaniq/EN_Long_Term_Care_Strategy_final.doc</w:t>
        </w:r>
      </w:hyperlink>
      <w:r w:rsidRPr="00B52F15">
        <w:rPr>
          <w:sz w:val="18"/>
        </w:rPr>
        <w:t xml:space="preserve"> (pristupljeno 13.01.2017. godine).</w:t>
      </w:r>
    </w:p>
  </w:footnote>
  <w:footnote w:id="24">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w:t>
      </w:r>
      <w:hyperlink r:id="rId9" w:history="1">
        <w:r w:rsidRPr="00B52F15">
          <w:rPr>
            <w:rStyle w:val="Hyperlink"/>
            <w:sz w:val="18"/>
          </w:rPr>
          <w:t>http://ec.europa.eu/social/BlobServlet?docId=6140&amp;langId=en</w:t>
        </w:r>
      </w:hyperlink>
      <w:r w:rsidRPr="00B52F15">
        <w:rPr>
          <w:sz w:val="18"/>
        </w:rPr>
        <w:t>, pristupljeno 13.01.2017. godine.</w:t>
      </w:r>
    </w:p>
  </w:footnote>
  <w:footnote w:id="25">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Dimitrova Marieta i Hristakieva Valentina, </w:t>
      </w:r>
      <w:r w:rsidRPr="00B52F15">
        <w:rPr>
          <w:i/>
          <w:sz w:val="18"/>
        </w:rPr>
        <w:t>Effective rights for mental health patients</w:t>
      </w:r>
      <w:r w:rsidRPr="00B52F15">
        <w:rPr>
          <w:sz w:val="18"/>
        </w:rPr>
        <w:t>-Bulgaria, 2016 (dokument u posjedu Akcije za ljudska prava).</w:t>
      </w:r>
    </w:p>
  </w:footnote>
  <w:footnote w:id="26">
    <w:p w:rsidR="00F67406" w:rsidRPr="00B52F15" w:rsidRDefault="00F67406" w:rsidP="006A2D2C">
      <w:pPr>
        <w:pStyle w:val="FootnoteText"/>
        <w:jc w:val="both"/>
        <w:rPr>
          <w:rFonts w:cstheme="minorHAnsi"/>
          <w:sz w:val="18"/>
        </w:rPr>
      </w:pPr>
      <w:r w:rsidRPr="00B52F15">
        <w:rPr>
          <w:rStyle w:val="FootnoteReference"/>
          <w:rFonts w:cstheme="minorHAnsi"/>
          <w:sz w:val="18"/>
        </w:rPr>
        <w:footnoteRef/>
      </w:r>
      <w:r w:rsidRPr="00B52F15">
        <w:rPr>
          <w:rFonts w:cstheme="minorHAnsi"/>
          <w:sz w:val="18"/>
        </w:rPr>
        <w:t xml:space="preserve"> </w:t>
      </w:r>
      <w:r w:rsidRPr="00B52F15">
        <w:rPr>
          <w:rFonts w:cstheme="minorHAnsi"/>
          <w:sz w:val="18"/>
          <w:shd w:val="clear" w:color="auto" w:fill="FFFFFF"/>
        </w:rPr>
        <w:t xml:space="preserve">The Community for All - Moldova Program was created through the established partnership between Keystone Human Services International in the United States, the Ministry of Labor, Social Protection and Family, Open Society Foundations/Mental Health Initiatives, Soros Foundation – Moldova, and Keystone Moldova. The goal of this partnership was to support the reforms of the Government of the Republic of Moldova in the field of social protection of persons with disabilities. Izvor: </w:t>
      </w:r>
      <w:hyperlink r:id="rId10" w:history="1">
        <w:r w:rsidRPr="00B52F15">
          <w:rPr>
            <w:rStyle w:val="Hyperlink"/>
            <w:rFonts w:cstheme="minorHAnsi"/>
            <w:color w:val="auto"/>
            <w:sz w:val="18"/>
            <w:shd w:val="clear" w:color="auto" w:fill="FFFFFF"/>
          </w:rPr>
          <w:t>http://www.keystonemoldova.md/en/projects/community-for-all.php</w:t>
        </w:r>
      </w:hyperlink>
      <w:r w:rsidRPr="00B52F15">
        <w:rPr>
          <w:rFonts w:cstheme="minorHAnsi"/>
          <w:sz w:val="18"/>
          <w:shd w:val="clear" w:color="auto" w:fill="FFFFFF"/>
        </w:rPr>
        <w:t xml:space="preserve">, pristupljeno 29.12.2016.godine. </w:t>
      </w:r>
    </w:p>
  </w:footnote>
  <w:footnote w:id="27">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Svjetska banka (2010), izvor: Jedinstvene evropske smjernice za prelazak sa institucionalne zaštite na brigu i podršku u zajednici.</w:t>
      </w:r>
    </w:p>
  </w:footnote>
  <w:footnote w:id="28">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Za više informacija vidjeti: Stanojković, M. Stručno-metodološko uputstvo za formiranje službi za zaštitu mentalnog zdravlja u zajednici : koncept zaštite mentalnog zdravlja u zajednici, Zbirka radova i preporuka – poslovna sposobnost i život u zajednici: zaštita prava osoba sa invaliditetom, MDRI-S, 2014, dostupno na </w:t>
      </w:r>
      <w:hyperlink r:id="rId11" w:history="1">
        <w:r w:rsidRPr="00B52F15">
          <w:rPr>
            <w:rStyle w:val="Hyperlink"/>
            <w:sz w:val="18"/>
          </w:rPr>
          <w:t>http://www.mdri-s.org/wp-content/uploads/2014/12/Zbirka-radova-SRB.pdf</w:t>
        </w:r>
      </w:hyperlink>
      <w:r w:rsidRPr="00B52F15">
        <w:rPr>
          <w:sz w:val="18"/>
        </w:rPr>
        <w:t xml:space="preserve"> (pristupljeno 29.12.2016.godine).</w:t>
      </w:r>
    </w:p>
  </w:footnote>
  <w:footnote w:id="29">
    <w:p w:rsidR="00F67406" w:rsidRPr="00B52F15" w:rsidRDefault="00F67406" w:rsidP="006A2D2C">
      <w:pPr>
        <w:pStyle w:val="FootnoteText"/>
        <w:rPr>
          <w:sz w:val="18"/>
        </w:rPr>
      </w:pPr>
      <w:r w:rsidRPr="00B52F15">
        <w:rPr>
          <w:rStyle w:val="FootnoteReference"/>
          <w:sz w:val="18"/>
        </w:rPr>
        <w:footnoteRef/>
      </w:r>
      <w:r w:rsidRPr="00B52F15">
        <w:rPr>
          <w:sz w:val="18"/>
        </w:rPr>
        <w:t xml:space="preserve"> </w:t>
      </w:r>
      <w:r w:rsidRPr="00B52F15">
        <w:rPr>
          <w:i/>
          <w:sz w:val="18"/>
        </w:rPr>
        <w:t>Sl. glasnik RS br. 45/13</w:t>
      </w:r>
      <w:r w:rsidRPr="00B52F15">
        <w:rPr>
          <w:sz w:val="18"/>
        </w:rPr>
        <w:t xml:space="preserve">, dostupno na </w:t>
      </w:r>
      <w:hyperlink r:id="rId12" w:history="1">
        <w:r w:rsidRPr="00B52F15">
          <w:rPr>
            <w:rStyle w:val="Hyperlink"/>
            <w:sz w:val="18"/>
          </w:rPr>
          <w:t>http://www.zdravlje.gov.rs/downloads/2013/Jun/Jun2013ZakonZastitiLicaSaMentalnimSmetnjama.pdf</w:t>
        </w:r>
      </w:hyperlink>
      <w:r w:rsidRPr="00B52F15">
        <w:rPr>
          <w:sz w:val="18"/>
        </w:rPr>
        <w:t xml:space="preserve"> (pristupljeno 28.01.2017. godine).</w:t>
      </w:r>
    </w:p>
  </w:footnote>
  <w:footnote w:id="30">
    <w:p w:rsidR="00F67406" w:rsidRPr="00B52F15" w:rsidRDefault="00F67406" w:rsidP="00B94B63">
      <w:pPr>
        <w:pStyle w:val="FootnoteText"/>
        <w:rPr>
          <w:sz w:val="18"/>
        </w:rPr>
      </w:pPr>
      <w:r w:rsidRPr="00B52F15">
        <w:rPr>
          <w:rStyle w:val="FootnoteReference"/>
          <w:sz w:val="18"/>
        </w:rPr>
        <w:footnoteRef/>
      </w:r>
      <w:r w:rsidRPr="00B52F15">
        <w:rPr>
          <w:sz w:val="18"/>
        </w:rPr>
        <w:t xml:space="preserve"> </w:t>
      </w:r>
      <w:hyperlink r:id="rId13" w:history="1">
        <w:r w:rsidRPr="00B52F15">
          <w:rPr>
            <w:rStyle w:val="Hyperlink"/>
            <w:sz w:val="18"/>
          </w:rPr>
          <w:t>http://www.minrzs.gov.rs/lat/aktuelno/item/4050-otvoreni-zagrljaj-podrska-osobama-sa-mentalnim-problemima</w:t>
        </w:r>
      </w:hyperlink>
      <w:r w:rsidRPr="00B52F15">
        <w:rPr>
          <w:sz w:val="18"/>
        </w:rPr>
        <w:t xml:space="preserve"> </w:t>
      </w:r>
    </w:p>
  </w:footnote>
  <w:footnote w:id="31">
    <w:p w:rsidR="00F67406" w:rsidRPr="00B52F15" w:rsidRDefault="00F67406" w:rsidP="00B94B63">
      <w:pPr>
        <w:pStyle w:val="FootnoteText"/>
        <w:rPr>
          <w:sz w:val="18"/>
        </w:rPr>
      </w:pPr>
      <w:r w:rsidRPr="00B52F15">
        <w:rPr>
          <w:rStyle w:val="FootnoteReference"/>
          <w:sz w:val="18"/>
        </w:rPr>
        <w:footnoteRef/>
      </w:r>
      <w:r w:rsidRPr="00B52F15">
        <w:rPr>
          <w:sz w:val="18"/>
        </w:rPr>
        <w:t xml:space="preserve"> </w:t>
      </w:r>
      <w:hyperlink r:id="rId14" w:history="1">
        <w:r w:rsidRPr="00B52F15">
          <w:rPr>
            <w:rStyle w:val="Hyperlink"/>
            <w:sz w:val="18"/>
          </w:rPr>
          <w:t>http://www.spbnoviknezevac.rs/centar-za-mentalno-zdravlje/</w:t>
        </w:r>
      </w:hyperlink>
      <w:r w:rsidRPr="00B52F15">
        <w:rPr>
          <w:sz w:val="18"/>
        </w:rPr>
        <w:t xml:space="preserve"> </w:t>
      </w:r>
    </w:p>
  </w:footnote>
  <w:footnote w:id="32">
    <w:p w:rsidR="00F67406" w:rsidRPr="00B52F15" w:rsidRDefault="00F67406" w:rsidP="00B94B63">
      <w:pPr>
        <w:pStyle w:val="FootnoteText"/>
        <w:rPr>
          <w:sz w:val="18"/>
        </w:rPr>
      </w:pPr>
      <w:r w:rsidRPr="00B52F15">
        <w:rPr>
          <w:rStyle w:val="FootnoteReference"/>
          <w:sz w:val="18"/>
        </w:rPr>
        <w:footnoteRef/>
      </w:r>
      <w:r w:rsidRPr="00B52F15">
        <w:rPr>
          <w:sz w:val="18"/>
        </w:rPr>
        <w:t xml:space="preserve"> </w:t>
      </w:r>
      <w:hyperlink r:id="rId15" w:history="1">
        <w:r w:rsidRPr="00B52F15">
          <w:rPr>
            <w:rStyle w:val="Hyperlink"/>
            <w:sz w:val="18"/>
          </w:rPr>
          <w:t>http://www.cmzvrsac.org.rs/index.php/component/content/?view=featured</w:t>
        </w:r>
      </w:hyperlink>
      <w:r w:rsidRPr="00B52F15">
        <w:rPr>
          <w:sz w:val="18"/>
        </w:rPr>
        <w:t xml:space="preserve"> </w:t>
      </w:r>
    </w:p>
  </w:footnote>
  <w:footnote w:id="33">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w:t>
      </w:r>
      <w:r w:rsidRPr="00B52F15">
        <w:rPr>
          <w:i/>
          <w:sz w:val="18"/>
        </w:rPr>
        <w:t>Službeni list CG – Međunarodni ugovori“</w:t>
      </w:r>
      <w:r w:rsidRPr="00B52F15">
        <w:rPr>
          <w:sz w:val="18"/>
        </w:rPr>
        <w:t xml:space="preserve"> 2/2009.</w:t>
      </w:r>
    </w:p>
  </w:footnote>
  <w:footnote w:id="34">
    <w:p w:rsidR="00F67406" w:rsidRPr="00B52F15" w:rsidRDefault="00F67406" w:rsidP="006A2D2C">
      <w:pPr>
        <w:pStyle w:val="FootnoteText"/>
        <w:jc w:val="both"/>
        <w:rPr>
          <w:sz w:val="18"/>
        </w:rPr>
      </w:pPr>
      <w:r w:rsidRPr="00B52F15">
        <w:rPr>
          <w:rStyle w:val="FootnoteReference"/>
          <w:sz w:val="18"/>
        </w:rPr>
        <w:footnoteRef/>
      </w:r>
      <w:hyperlink r:id="rId16" w:history="1">
        <w:r w:rsidRPr="00B52F15">
          <w:rPr>
            <w:rStyle w:val="Hyperlink"/>
            <w:sz w:val="18"/>
          </w:rPr>
          <w:t>http://www.disabilityinfo.me/component/k2/item/1445-osvrt-na-novu-strategiju-za-integraciju-osoba-sa-invaliditetom</w:t>
        </w:r>
      </w:hyperlink>
      <w:r w:rsidRPr="00B52F15">
        <w:rPr>
          <w:sz w:val="18"/>
        </w:rPr>
        <w:t xml:space="preserve"> (pristupljeno 30.12.2016.godine).</w:t>
      </w:r>
    </w:p>
  </w:footnote>
  <w:footnote w:id="35">
    <w:p w:rsidR="00F67406" w:rsidRPr="00B52F15" w:rsidRDefault="00F67406" w:rsidP="000F77EE">
      <w:pPr>
        <w:pStyle w:val="FootnoteText"/>
        <w:rPr>
          <w:sz w:val="18"/>
        </w:rPr>
      </w:pPr>
      <w:r w:rsidRPr="00B52F15">
        <w:rPr>
          <w:rStyle w:val="FootnoteReference"/>
          <w:sz w:val="18"/>
        </w:rPr>
        <w:footnoteRef/>
      </w:r>
      <w:r w:rsidRPr="00B52F15">
        <w:rPr>
          <w:sz w:val="18"/>
        </w:rPr>
        <w:t xml:space="preserve"> "Sl. list RCG", br. 32/2005 i "Sl. list CG", br. 27/2013</w:t>
      </w:r>
    </w:p>
  </w:footnote>
  <w:footnote w:id="36">
    <w:p w:rsidR="00F67406" w:rsidRPr="00B52F15" w:rsidRDefault="00F67406" w:rsidP="006A2D2C">
      <w:pPr>
        <w:pStyle w:val="FootnoteText"/>
        <w:jc w:val="both"/>
        <w:rPr>
          <w:sz w:val="18"/>
        </w:rPr>
      </w:pPr>
      <w:r w:rsidRPr="00B52F15">
        <w:rPr>
          <w:rStyle w:val="FootnoteReference"/>
          <w:sz w:val="18"/>
        </w:rPr>
        <w:footnoteRef/>
      </w:r>
      <w:hyperlink r:id="rId17" w:history="1">
        <w:r w:rsidRPr="00B52F15">
          <w:rPr>
            <w:rStyle w:val="Hyperlink"/>
            <w:sz w:val="18"/>
          </w:rPr>
          <w:t>http://www.mzdravlja.gov.me/ResourceManager/FileDownload.aspx?rid=217288&amp;rType=2&amp;file=Strategija%20unapre%C4%91enja%20mentalnog%20zdravlja%20u%20Republici%20Crnoj%20Gori.pdf</w:t>
        </w:r>
      </w:hyperlink>
      <w:r w:rsidRPr="00B52F15">
        <w:rPr>
          <w:rStyle w:val="Hyperlink"/>
          <w:sz w:val="18"/>
        </w:rPr>
        <w:t>.</w:t>
      </w:r>
      <w:r w:rsidRPr="00B52F15">
        <w:rPr>
          <w:sz w:val="18"/>
        </w:rPr>
        <w:t xml:space="preserve"> </w:t>
      </w:r>
    </w:p>
  </w:footnote>
  <w:footnote w:id="37">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Izvor: intervju sa predstavnikom MRSS.</w:t>
      </w:r>
    </w:p>
  </w:footnote>
  <w:footnote w:id="38">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w:t>
      </w:r>
      <w:hyperlink r:id="rId18" w:history="1">
        <w:r w:rsidRPr="00B52F15">
          <w:rPr>
            <w:rStyle w:val="Hyperlink"/>
            <w:sz w:val="18"/>
          </w:rPr>
          <w:t>http://psihijatrijakotor.me/mn/index.php?option=com_content&amp;view=article&amp;id=4&amp;Itemid=117</w:t>
        </w:r>
      </w:hyperlink>
      <w:r>
        <w:rPr>
          <w:sz w:val="18"/>
        </w:rPr>
        <w:t xml:space="preserve"> </w:t>
      </w:r>
      <w:r w:rsidRPr="00B52F15">
        <w:rPr>
          <w:sz w:val="18"/>
        </w:rPr>
        <w:t>(pristupljeno 30.12.2016).</w:t>
      </w:r>
    </w:p>
  </w:footnote>
  <w:footnote w:id="39">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Opšti komentar br. 1 na član 12 Konvencije o pravima osoba sa invaliditetom, paragraf br. 40.</w:t>
      </w:r>
    </w:p>
  </w:footnote>
  <w:footnote w:id="40">
    <w:p w:rsidR="00F67406" w:rsidRPr="00B52F15" w:rsidRDefault="00F67406" w:rsidP="006A2D2C">
      <w:pPr>
        <w:pStyle w:val="FootnoteText"/>
        <w:jc w:val="both"/>
        <w:rPr>
          <w:sz w:val="18"/>
        </w:rPr>
      </w:pPr>
      <w:r w:rsidRPr="00B52F15">
        <w:rPr>
          <w:rStyle w:val="FootnoteReference"/>
          <w:sz w:val="18"/>
        </w:rPr>
        <w:footnoteRef/>
      </w:r>
      <w:r w:rsidRPr="00B52F15">
        <w:rPr>
          <w:sz w:val="18"/>
        </w:rPr>
        <w:t xml:space="preserve"> Ibid, paragraf br. 42.</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406" w:rsidRPr="003A019C" w:rsidRDefault="00F67406" w:rsidP="003A019C">
    <w:pPr>
      <w:tabs>
        <w:tab w:val="left" w:pos="3422"/>
      </w:tabs>
    </w:pPr>
    <w:r>
      <w:rPr>
        <w:noProof/>
        <w:lang w:val="en-US"/>
      </w:rPr>
      <w:drawing>
        <wp:anchor distT="0" distB="0" distL="114300" distR="114300" simplePos="0" relativeHeight="251664384" behindDoc="1" locked="0" layoutInCell="1" allowOverlap="1" wp14:anchorId="09D6B7B4" wp14:editId="0D523881">
          <wp:simplePos x="0" y="0"/>
          <wp:positionH relativeFrom="column">
            <wp:posOffset>2408555</wp:posOffset>
          </wp:positionH>
          <wp:positionV relativeFrom="paragraph">
            <wp:posOffset>26670</wp:posOffset>
          </wp:positionV>
          <wp:extent cx="857250" cy="825500"/>
          <wp:effectExtent l="0" t="0" r="0" b="0"/>
          <wp:wrapNone/>
          <wp:docPr id="26" name="Picture 26" descr="znakanime za memo"/>
          <wp:cNvGraphicFramePr/>
          <a:graphic xmlns:a="http://schemas.openxmlformats.org/drawingml/2006/main">
            <a:graphicData uri="http://schemas.openxmlformats.org/drawingml/2006/picture">
              <pic:pic xmlns:pic="http://schemas.openxmlformats.org/drawingml/2006/picture">
                <pic:nvPicPr>
                  <pic:cNvPr id="13" name="Picture 13" descr="znakanime za mem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825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5408" behindDoc="1" locked="0" layoutInCell="1" allowOverlap="1" wp14:anchorId="264E649D" wp14:editId="287693E8">
          <wp:simplePos x="0" y="0"/>
          <wp:positionH relativeFrom="column">
            <wp:posOffset>4097655</wp:posOffset>
          </wp:positionH>
          <wp:positionV relativeFrom="paragraph">
            <wp:posOffset>-134620</wp:posOffset>
          </wp:positionV>
          <wp:extent cx="1663700" cy="1212850"/>
          <wp:effectExtent l="0" t="0" r="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2">
                    <a:extLst>
                      <a:ext uri="{28A0092B-C50C-407E-A947-70E740481C1C}">
                        <a14:useLocalDpi xmlns:a14="http://schemas.microsoft.com/office/drawing/2010/main" val="0"/>
                      </a:ext>
                    </a:extLst>
                  </a:blip>
                  <a:stretch>
                    <a:fillRect/>
                  </a:stretch>
                </pic:blipFill>
                <pic:spPr>
                  <a:xfrm>
                    <a:off x="0" y="0"/>
                    <a:ext cx="1663700" cy="121285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6814FFF3" wp14:editId="08ABF0DC">
          <wp:extent cx="1765300" cy="850900"/>
          <wp:effectExtent l="0" t="0" r="635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I 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70054" cy="853191"/>
                  </a:xfrm>
                  <a:prstGeom prst="rect">
                    <a:avLst/>
                  </a:prstGeom>
                </pic:spPr>
              </pic:pic>
            </a:graphicData>
          </a:graphic>
        </wp:inline>
      </w:drawing>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BD14565_"/>
      </v:shape>
    </w:pict>
  </w:numPicBullet>
  <w:abstractNum w:abstractNumId="0">
    <w:nsid w:val="00445E38"/>
    <w:multiLevelType w:val="hybridMultilevel"/>
    <w:tmpl w:val="BBB6CE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24D56"/>
    <w:multiLevelType w:val="hybridMultilevel"/>
    <w:tmpl w:val="DF6009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70977"/>
    <w:multiLevelType w:val="hybridMultilevel"/>
    <w:tmpl w:val="4E4AE356"/>
    <w:lvl w:ilvl="0" w:tplc="22AEC08C">
      <w:numFmt w:val="bullet"/>
      <w:lvlText w:val="-"/>
      <w:lvlJc w:val="left"/>
      <w:pPr>
        <w:ind w:left="720" w:hanging="360"/>
      </w:pPr>
      <w:rPr>
        <w:rFonts w:ascii="Calibri" w:eastAsiaTheme="minorEastAsia"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09664F2C"/>
    <w:multiLevelType w:val="hybridMultilevel"/>
    <w:tmpl w:val="DB3ACE60"/>
    <w:lvl w:ilvl="0" w:tplc="303E289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0D329B"/>
    <w:multiLevelType w:val="hybridMultilevel"/>
    <w:tmpl w:val="47F876D2"/>
    <w:lvl w:ilvl="0" w:tplc="C45A3ABE">
      <w:start w:val="1"/>
      <w:numFmt w:val="bullet"/>
      <w:lvlText w:val="•"/>
      <w:lvlJc w:val="left"/>
      <w:pPr>
        <w:tabs>
          <w:tab w:val="num" w:pos="720"/>
        </w:tabs>
        <w:ind w:left="720" w:hanging="360"/>
      </w:pPr>
      <w:rPr>
        <w:rFonts w:ascii="Times New Roman" w:hAnsi="Times New Roman" w:hint="default"/>
      </w:rPr>
    </w:lvl>
    <w:lvl w:ilvl="1" w:tplc="07B4D3D6" w:tentative="1">
      <w:start w:val="1"/>
      <w:numFmt w:val="bullet"/>
      <w:lvlText w:val="•"/>
      <w:lvlJc w:val="left"/>
      <w:pPr>
        <w:tabs>
          <w:tab w:val="num" w:pos="1440"/>
        </w:tabs>
        <w:ind w:left="1440" w:hanging="360"/>
      </w:pPr>
      <w:rPr>
        <w:rFonts w:ascii="Times New Roman" w:hAnsi="Times New Roman" w:hint="default"/>
      </w:rPr>
    </w:lvl>
    <w:lvl w:ilvl="2" w:tplc="6D8024B6" w:tentative="1">
      <w:start w:val="1"/>
      <w:numFmt w:val="bullet"/>
      <w:lvlText w:val="•"/>
      <w:lvlJc w:val="left"/>
      <w:pPr>
        <w:tabs>
          <w:tab w:val="num" w:pos="2160"/>
        </w:tabs>
        <w:ind w:left="2160" w:hanging="360"/>
      </w:pPr>
      <w:rPr>
        <w:rFonts w:ascii="Times New Roman" w:hAnsi="Times New Roman" w:hint="default"/>
      </w:rPr>
    </w:lvl>
    <w:lvl w:ilvl="3" w:tplc="D506E56A" w:tentative="1">
      <w:start w:val="1"/>
      <w:numFmt w:val="bullet"/>
      <w:lvlText w:val="•"/>
      <w:lvlJc w:val="left"/>
      <w:pPr>
        <w:tabs>
          <w:tab w:val="num" w:pos="2880"/>
        </w:tabs>
        <w:ind w:left="2880" w:hanging="360"/>
      </w:pPr>
      <w:rPr>
        <w:rFonts w:ascii="Times New Roman" w:hAnsi="Times New Roman" w:hint="default"/>
      </w:rPr>
    </w:lvl>
    <w:lvl w:ilvl="4" w:tplc="A418BBDC" w:tentative="1">
      <w:start w:val="1"/>
      <w:numFmt w:val="bullet"/>
      <w:lvlText w:val="•"/>
      <w:lvlJc w:val="left"/>
      <w:pPr>
        <w:tabs>
          <w:tab w:val="num" w:pos="3600"/>
        </w:tabs>
        <w:ind w:left="3600" w:hanging="360"/>
      </w:pPr>
      <w:rPr>
        <w:rFonts w:ascii="Times New Roman" w:hAnsi="Times New Roman" w:hint="default"/>
      </w:rPr>
    </w:lvl>
    <w:lvl w:ilvl="5" w:tplc="9A40EF76" w:tentative="1">
      <w:start w:val="1"/>
      <w:numFmt w:val="bullet"/>
      <w:lvlText w:val="•"/>
      <w:lvlJc w:val="left"/>
      <w:pPr>
        <w:tabs>
          <w:tab w:val="num" w:pos="4320"/>
        </w:tabs>
        <w:ind w:left="4320" w:hanging="360"/>
      </w:pPr>
      <w:rPr>
        <w:rFonts w:ascii="Times New Roman" w:hAnsi="Times New Roman" w:hint="default"/>
      </w:rPr>
    </w:lvl>
    <w:lvl w:ilvl="6" w:tplc="123CEFFE" w:tentative="1">
      <w:start w:val="1"/>
      <w:numFmt w:val="bullet"/>
      <w:lvlText w:val="•"/>
      <w:lvlJc w:val="left"/>
      <w:pPr>
        <w:tabs>
          <w:tab w:val="num" w:pos="5040"/>
        </w:tabs>
        <w:ind w:left="5040" w:hanging="360"/>
      </w:pPr>
      <w:rPr>
        <w:rFonts w:ascii="Times New Roman" w:hAnsi="Times New Roman" w:hint="default"/>
      </w:rPr>
    </w:lvl>
    <w:lvl w:ilvl="7" w:tplc="9CA27BA8" w:tentative="1">
      <w:start w:val="1"/>
      <w:numFmt w:val="bullet"/>
      <w:lvlText w:val="•"/>
      <w:lvlJc w:val="left"/>
      <w:pPr>
        <w:tabs>
          <w:tab w:val="num" w:pos="5760"/>
        </w:tabs>
        <w:ind w:left="5760" w:hanging="360"/>
      </w:pPr>
      <w:rPr>
        <w:rFonts w:ascii="Times New Roman" w:hAnsi="Times New Roman" w:hint="default"/>
      </w:rPr>
    </w:lvl>
    <w:lvl w:ilvl="8" w:tplc="7FE2715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2352153"/>
    <w:multiLevelType w:val="hybridMultilevel"/>
    <w:tmpl w:val="6A7691EA"/>
    <w:lvl w:ilvl="0" w:tplc="0409000B">
      <w:start w:val="1"/>
      <w:numFmt w:val="bullet"/>
      <w:lvlText w:val=""/>
      <w:lvlJc w:val="left"/>
      <w:pPr>
        <w:ind w:left="720" w:hanging="360"/>
      </w:pPr>
      <w:rPr>
        <w:rFonts w:ascii="Wingdings" w:hAnsi="Wingdings"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3B373E2"/>
    <w:multiLevelType w:val="hybridMultilevel"/>
    <w:tmpl w:val="ECEE2336"/>
    <w:lvl w:ilvl="0" w:tplc="6E6804C2">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E6D63"/>
    <w:multiLevelType w:val="hybridMultilevel"/>
    <w:tmpl w:val="CE6C8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ED08EA"/>
    <w:multiLevelType w:val="hybridMultilevel"/>
    <w:tmpl w:val="FB323B66"/>
    <w:lvl w:ilvl="0" w:tplc="8200B59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65705B"/>
    <w:multiLevelType w:val="hybridMultilevel"/>
    <w:tmpl w:val="605C23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FC7EA4"/>
    <w:multiLevelType w:val="hybridMultilevel"/>
    <w:tmpl w:val="3328E1B6"/>
    <w:lvl w:ilvl="0" w:tplc="0409000B">
      <w:start w:val="1"/>
      <w:numFmt w:val="bullet"/>
      <w:lvlText w:val=""/>
      <w:lvlJc w:val="left"/>
      <w:pPr>
        <w:ind w:left="720" w:hanging="360"/>
      </w:pPr>
      <w:rPr>
        <w:rFonts w:ascii="Wingdings" w:hAnsi="Wingdings" w:hint="default"/>
      </w:rPr>
    </w:lvl>
    <w:lvl w:ilvl="1" w:tplc="14DEC702">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2753B1"/>
    <w:multiLevelType w:val="hybridMultilevel"/>
    <w:tmpl w:val="C4769C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1F29A0"/>
    <w:multiLevelType w:val="hybridMultilevel"/>
    <w:tmpl w:val="24B21F14"/>
    <w:lvl w:ilvl="0" w:tplc="D600377A">
      <w:start w:val="1"/>
      <w:numFmt w:val="decimal"/>
      <w:lvlText w:val="%1."/>
      <w:lvlJc w:val="left"/>
      <w:pPr>
        <w:ind w:left="720" w:hanging="360"/>
      </w:pPr>
      <w:rPr>
        <w:rFonts w:hint="default"/>
        <w:b/>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35EE1B43"/>
    <w:multiLevelType w:val="hybridMultilevel"/>
    <w:tmpl w:val="4BC41024"/>
    <w:lvl w:ilvl="0" w:tplc="708C29F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8F2B24"/>
    <w:multiLevelType w:val="hybridMultilevel"/>
    <w:tmpl w:val="6EE499D8"/>
    <w:lvl w:ilvl="0" w:tplc="89B0D0F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D930A4"/>
    <w:multiLevelType w:val="hybridMultilevel"/>
    <w:tmpl w:val="96F26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C96724"/>
    <w:multiLevelType w:val="hybridMultilevel"/>
    <w:tmpl w:val="2FE0133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0D12EF3"/>
    <w:multiLevelType w:val="hybridMultilevel"/>
    <w:tmpl w:val="B44C7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0E20FA"/>
    <w:multiLevelType w:val="hybridMultilevel"/>
    <w:tmpl w:val="6362109C"/>
    <w:lvl w:ilvl="0" w:tplc="1AE8C072">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1F0CE1"/>
    <w:multiLevelType w:val="hybridMultilevel"/>
    <w:tmpl w:val="06845814"/>
    <w:lvl w:ilvl="0" w:tplc="404284CC">
      <w:start w:val="2"/>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7DA21EF"/>
    <w:multiLevelType w:val="hybridMultilevel"/>
    <w:tmpl w:val="C310B704"/>
    <w:lvl w:ilvl="0" w:tplc="8FA8CB2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F86EBA"/>
    <w:multiLevelType w:val="hybridMultilevel"/>
    <w:tmpl w:val="0ED094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3C1FB2"/>
    <w:multiLevelType w:val="hybridMultilevel"/>
    <w:tmpl w:val="5F9EC66E"/>
    <w:lvl w:ilvl="0" w:tplc="8F7E6A02">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6F7E51"/>
    <w:multiLevelType w:val="hybridMultilevel"/>
    <w:tmpl w:val="6CA67C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D92B61"/>
    <w:multiLevelType w:val="hybridMultilevel"/>
    <w:tmpl w:val="E43ED8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041D7B"/>
    <w:multiLevelType w:val="hybridMultilevel"/>
    <w:tmpl w:val="D6C2513E"/>
    <w:lvl w:ilvl="0" w:tplc="89E812AC">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6"/>
  </w:num>
  <w:num w:numId="4">
    <w:abstractNumId w:val="7"/>
  </w:num>
  <w:num w:numId="5">
    <w:abstractNumId w:val="25"/>
  </w:num>
  <w:num w:numId="6">
    <w:abstractNumId w:val="4"/>
  </w:num>
  <w:num w:numId="7">
    <w:abstractNumId w:val="21"/>
  </w:num>
  <w:num w:numId="8">
    <w:abstractNumId w:val="18"/>
  </w:num>
  <w:num w:numId="9">
    <w:abstractNumId w:val="19"/>
  </w:num>
  <w:num w:numId="10">
    <w:abstractNumId w:val="22"/>
  </w:num>
  <w:num w:numId="11">
    <w:abstractNumId w:val="23"/>
  </w:num>
  <w:num w:numId="12">
    <w:abstractNumId w:val="11"/>
  </w:num>
  <w:num w:numId="13">
    <w:abstractNumId w:val="0"/>
  </w:num>
  <w:num w:numId="14">
    <w:abstractNumId w:val="16"/>
  </w:num>
  <w:num w:numId="15">
    <w:abstractNumId w:val="10"/>
  </w:num>
  <w:num w:numId="16">
    <w:abstractNumId w:val="15"/>
  </w:num>
  <w:num w:numId="17">
    <w:abstractNumId w:val="8"/>
  </w:num>
  <w:num w:numId="18">
    <w:abstractNumId w:val="24"/>
  </w:num>
  <w:num w:numId="19">
    <w:abstractNumId w:val="9"/>
  </w:num>
  <w:num w:numId="20">
    <w:abstractNumId w:val="20"/>
  </w:num>
  <w:num w:numId="21">
    <w:abstractNumId w:val="17"/>
  </w:num>
  <w:num w:numId="22">
    <w:abstractNumId w:val="14"/>
  </w:num>
  <w:num w:numId="23">
    <w:abstractNumId w:val="1"/>
  </w:num>
  <w:num w:numId="24">
    <w:abstractNumId w:val="2"/>
  </w:num>
  <w:num w:numId="25">
    <w:abstractNumId w:val="5"/>
  </w:num>
  <w:num w:numId="2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S-03">
    <w15:presenceInfo w15:providerId="None" w15:userId="RS-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C0"/>
    <w:rsid w:val="00001193"/>
    <w:rsid w:val="0000307A"/>
    <w:rsid w:val="00003AAE"/>
    <w:rsid w:val="00005008"/>
    <w:rsid w:val="000073C4"/>
    <w:rsid w:val="0001042E"/>
    <w:rsid w:val="00010BC6"/>
    <w:rsid w:val="00013D78"/>
    <w:rsid w:val="000174B7"/>
    <w:rsid w:val="000201E2"/>
    <w:rsid w:val="00022B3E"/>
    <w:rsid w:val="00025468"/>
    <w:rsid w:val="0003148A"/>
    <w:rsid w:val="00041F6E"/>
    <w:rsid w:val="000431F8"/>
    <w:rsid w:val="0004471A"/>
    <w:rsid w:val="000462D8"/>
    <w:rsid w:val="000510B9"/>
    <w:rsid w:val="00051BBC"/>
    <w:rsid w:val="00056AAD"/>
    <w:rsid w:val="00061838"/>
    <w:rsid w:val="00061885"/>
    <w:rsid w:val="00061F6B"/>
    <w:rsid w:val="00064D78"/>
    <w:rsid w:val="00070BA0"/>
    <w:rsid w:val="00072E19"/>
    <w:rsid w:val="00072EA9"/>
    <w:rsid w:val="00083288"/>
    <w:rsid w:val="00085F3D"/>
    <w:rsid w:val="0008680D"/>
    <w:rsid w:val="0009026E"/>
    <w:rsid w:val="00090913"/>
    <w:rsid w:val="0009354E"/>
    <w:rsid w:val="0009435E"/>
    <w:rsid w:val="000948AD"/>
    <w:rsid w:val="000957DB"/>
    <w:rsid w:val="00095B66"/>
    <w:rsid w:val="000A0D68"/>
    <w:rsid w:val="000A1038"/>
    <w:rsid w:val="000A1A92"/>
    <w:rsid w:val="000A415B"/>
    <w:rsid w:val="000B3853"/>
    <w:rsid w:val="000B3AEA"/>
    <w:rsid w:val="000B41AC"/>
    <w:rsid w:val="000B535A"/>
    <w:rsid w:val="000B5719"/>
    <w:rsid w:val="000C2141"/>
    <w:rsid w:val="000C2892"/>
    <w:rsid w:val="000C7D67"/>
    <w:rsid w:val="000D6A4F"/>
    <w:rsid w:val="000E028C"/>
    <w:rsid w:val="000E1E5E"/>
    <w:rsid w:val="000E341A"/>
    <w:rsid w:val="000F0CCD"/>
    <w:rsid w:val="000F286D"/>
    <w:rsid w:val="000F654A"/>
    <w:rsid w:val="000F77EE"/>
    <w:rsid w:val="00100EB4"/>
    <w:rsid w:val="00102568"/>
    <w:rsid w:val="00104529"/>
    <w:rsid w:val="00107B88"/>
    <w:rsid w:val="0011154C"/>
    <w:rsid w:val="001116AE"/>
    <w:rsid w:val="00114C54"/>
    <w:rsid w:val="00117300"/>
    <w:rsid w:val="001208D3"/>
    <w:rsid w:val="001215A3"/>
    <w:rsid w:val="00125392"/>
    <w:rsid w:val="00130CB3"/>
    <w:rsid w:val="00130D51"/>
    <w:rsid w:val="00131C85"/>
    <w:rsid w:val="00133634"/>
    <w:rsid w:val="00133AFD"/>
    <w:rsid w:val="00135A4F"/>
    <w:rsid w:val="00141E14"/>
    <w:rsid w:val="0014284D"/>
    <w:rsid w:val="0014427B"/>
    <w:rsid w:val="00145698"/>
    <w:rsid w:val="001459A0"/>
    <w:rsid w:val="00146671"/>
    <w:rsid w:val="00152271"/>
    <w:rsid w:val="00153C35"/>
    <w:rsid w:val="00156321"/>
    <w:rsid w:val="00156BEA"/>
    <w:rsid w:val="0016126A"/>
    <w:rsid w:val="00162B00"/>
    <w:rsid w:val="00163900"/>
    <w:rsid w:val="001659A3"/>
    <w:rsid w:val="00167DCA"/>
    <w:rsid w:val="0017101F"/>
    <w:rsid w:val="00172248"/>
    <w:rsid w:val="0017391A"/>
    <w:rsid w:val="001767A2"/>
    <w:rsid w:val="00176D6F"/>
    <w:rsid w:val="001815A4"/>
    <w:rsid w:val="001861FD"/>
    <w:rsid w:val="00187629"/>
    <w:rsid w:val="001879FD"/>
    <w:rsid w:val="00190902"/>
    <w:rsid w:val="001932B4"/>
    <w:rsid w:val="001938AA"/>
    <w:rsid w:val="00194079"/>
    <w:rsid w:val="001A29C5"/>
    <w:rsid w:val="001A3036"/>
    <w:rsid w:val="001A5A68"/>
    <w:rsid w:val="001A6128"/>
    <w:rsid w:val="001A6DED"/>
    <w:rsid w:val="001B1439"/>
    <w:rsid w:val="001B18C8"/>
    <w:rsid w:val="001B4317"/>
    <w:rsid w:val="001B7A64"/>
    <w:rsid w:val="001D0B01"/>
    <w:rsid w:val="001D366C"/>
    <w:rsid w:val="001E0D66"/>
    <w:rsid w:val="001E597C"/>
    <w:rsid w:val="001F1A25"/>
    <w:rsid w:val="001F556D"/>
    <w:rsid w:val="0020000C"/>
    <w:rsid w:val="002027F7"/>
    <w:rsid w:val="00205718"/>
    <w:rsid w:val="00212755"/>
    <w:rsid w:val="00214DBC"/>
    <w:rsid w:val="00224182"/>
    <w:rsid w:val="00224671"/>
    <w:rsid w:val="00227E20"/>
    <w:rsid w:val="00234ECF"/>
    <w:rsid w:val="002441DC"/>
    <w:rsid w:val="0024429C"/>
    <w:rsid w:val="00247412"/>
    <w:rsid w:val="00250E19"/>
    <w:rsid w:val="002513D0"/>
    <w:rsid w:val="002526B1"/>
    <w:rsid w:val="0025310F"/>
    <w:rsid w:val="002549DA"/>
    <w:rsid w:val="002609CC"/>
    <w:rsid w:val="0026349D"/>
    <w:rsid w:val="002644E1"/>
    <w:rsid w:val="002716D3"/>
    <w:rsid w:val="00280ACE"/>
    <w:rsid w:val="00281758"/>
    <w:rsid w:val="00282411"/>
    <w:rsid w:val="00283F65"/>
    <w:rsid w:val="0029195D"/>
    <w:rsid w:val="00292401"/>
    <w:rsid w:val="002926AD"/>
    <w:rsid w:val="00297620"/>
    <w:rsid w:val="002A05E6"/>
    <w:rsid w:val="002A22A7"/>
    <w:rsid w:val="002A3168"/>
    <w:rsid w:val="002A3C87"/>
    <w:rsid w:val="002A3F9C"/>
    <w:rsid w:val="002A4302"/>
    <w:rsid w:val="002A6050"/>
    <w:rsid w:val="002A65D3"/>
    <w:rsid w:val="002B2935"/>
    <w:rsid w:val="002B398A"/>
    <w:rsid w:val="002C1050"/>
    <w:rsid w:val="002C3DE0"/>
    <w:rsid w:val="002C4790"/>
    <w:rsid w:val="002C64D2"/>
    <w:rsid w:val="002C788D"/>
    <w:rsid w:val="002D2CDD"/>
    <w:rsid w:val="002D35E6"/>
    <w:rsid w:val="002D4412"/>
    <w:rsid w:val="002E28A0"/>
    <w:rsid w:val="002E2C82"/>
    <w:rsid w:val="002E2DDB"/>
    <w:rsid w:val="002E35B4"/>
    <w:rsid w:val="002E3D36"/>
    <w:rsid w:val="002E7BD0"/>
    <w:rsid w:val="002F2F6B"/>
    <w:rsid w:val="002F43A5"/>
    <w:rsid w:val="003034B1"/>
    <w:rsid w:val="003046E8"/>
    <w:rsid w:val="00313065"/>
    <w:rsid w:val="00313741"/>
    <w:rsid w:val="00320CD4"/>
    <w:rsid w:val="00321E59"/>
    <w:rsid w:val="00324AFA"/>
    <w:rsid w:val="00325103"/>
    <w:rsid w:val="00327DB8"/>
    <w:rsid w:val="00327ECD"/>
    <w:rsid w:val="0033198B"/>
    <w:rsid w:val="00333152"/>
    <w:rsid w:val="003406B6"/>
    <w:rsid w:val="003407C2"/>
    <w:rsid w:val="00340F3B"/>
    <w:rsid w:val="00341776"/>
    <w:rsid w:val="00347301"/>
    <w:rsid w:val="00352453"/>
    <w:rsid w:val="00357AD3"/>
    <w:rsid w:val="00357CE6"/>
    <w:rsid w:val="00360448"/>
    <w:rsid w:val="0036104B"/>
    <w:rsid w:val="00364FDB"/>
    <w:rsid w:val="0036752A"/>
    <w:rsid w:val="00374932"/>
    <w:rsid w:val="00377A2D"/>
    <w:rsid w:val="00380EA5"/>
    <w:rsid w:val="0038324D"/>
    <w:rsid w:val="00384ADE"/>
    <w:rsid w:val="00396871"/>
    <w:rsid w:val="00396FA3"/>
    <w:rsid w:val="00397404"/>
    <w:rsid w:val="00397623"/>
    <w:rsid w:val="003A019C"/>
    <w:rsid w:val="003A447C"/>
    <w:rsid w:val="003A47E2"/>
    <w:rsid w:val="003B090A"/>
    <w:rsid w:val="003B3400"/>
    <w:rsid w:val="003C3151"/>
    <w:rsid w:val="003C3ABD"/>
    <w:rsid w:val="003C4432"/>
    <w:rsid w:val="003C4737"/>
    <w:rsid w:val="003C6673"/>
    <w:rsid w:val="003D0222"/>
    <w:rsid w:val="003D0998"/>
    <w:rsid w:val="003D2DD8"/>
    <w:rsid w:val="003D3314"/>
    <w:rsid w:val="003D63DB"/>
    <w:rsid w:val="003E2284"/>
    <w:rsid w:val="003E4D47"/>
    <w:rsid w:val="003E6B93"/>
    <w:rsid w:val="003E7797"/>
    <w:rsid w:val="003F59B9"/>
    <w:rsid w:val="003F6841"/>
    <w:rsid w:val="003F77F3"/>
    <w:rsid w:val="00400023"/>
    <w:rsid w:val="00400E23"/>
    <w:rsid w:val="0040215F"/>
    <w:rsid w:val="00403CFF"/>
    <w:rsid w:val="004041F1"/>
    <w:rsid w:val="00404E19"/>
    <w:rsid w:val="00410D1C"/>
    <w:rsid w:val="00415D51"/>
    <w:rsid w:val="00422C5E"/>
    <w:rsid w:val="00423522"/>
    <w:rsid w:val="00431C73"/>
    <w:rsid w:val="00436055"/>
    <w:rsid w:val="0044004F"/>
    <w:rsid w:val="004407F2"/>
    <w:rsid w:val="00440EEF"/>
    <w:rsid w:val="004411F2"/>
    <w:rsid w:val="004413B4"/>
    <w:rsid w:val="00443A1F"/>
    <w:rsid w:val="004500AD"/>
    <w:rsid w:val="00454778"/>
    <w:rsid w:val="00457A28"/>
    <w:rsid w:val="00457FA3"/>
    <w:rsid w:val="00460FD8"/>
    <w:rsid w:val="004660E1"/>
    <w:rsid w:val="004745D2"/>
    <w:rsid w:val="00474A0D"/>
    <w:rsid w:val="004750F4"/>
    <w:rsid w:val="00475169"/>
    <w:rsid w:val="004760CF"/>
    <w:rsid w:val="00476708"/>
    <w:rsid w:val="00477641"/>
    <w:rsid w:val="004778C9"/>
    <w:rsid w:val="00482F4C"/>
    <w:rsid w:val="00483C07"/>
    <w:rsid w:val="00484728"/>
    <w:rsid w:val="00486F2D"/>
    <w:rsid w:val="004906D4"/>
    <w:rsid w:val="004923B1"/>
    <w:rsid w:val="004928DE"/>
    <w:rsid w:val="00496147"/>
    <w:rsid w:val="00496904"/>
    <w:rsid w:val="00497C57"/>
    <w:rsid w:val="004A0111"/>
    <w:rsid w:val="004A2568"/>
    <w:rsid w:val="004A51CC"/>
    <w:rsid w:val="004A59D3"/>
    <w:rsid w:val="004B0B15"/>
    <w:rsid w:val="004B0D29"/>
    <w:rsid w:val="004B3B2E"/>
    <w:rsid w:val="004B422C"/>
    <w:rsid w:val="004B742F"/>
    <w:rsid w:val="004C0F1B"/>
    <w:rsid w:val="004C68BB"/>
    <w:rsid w:val="004D212B"/>
    <w:rsid w:val="004D3B19"/>
    <w:rsid w:val="004D3F1A"/>
    <w:rsid w:val="004D5C14"/>
    <w:rsid w:val="004E069E"/>
    <w:rsid w:val="004E09B9"/>
    <w:rsid w:val="004E466B"/>
    <w:rsid w:val="004F04EA"/>
    <w:rsid w:val="004F057E"/>
    <w:rsid w:val="004F1432"/>
    <w:rsid w:val="004F19D8"/>
    <w:rsid w:val="004F1F3E"/>
    <w:rsid w:val="004F2037"/>
    <w:rsid w:val="004F272A"/>
    <w:rsid w:val="004F3B22"/>
    <w:rsid w:val="004F4D42"/>
    <w:rsid w:val="00503F38"/>
    <w:rsid w:val="0050495A"/>
    <w:rsid w:val="005077F7"/>
    <w:rsid w:val="00511A0E"/>
    <w:rsid w:val="005133E9"/>
    <w:rsid w:val="00514A2A"/>
    <w:rsid w:val="00517F14"/>
    <w:rsid w:val="00521453"/>
    <w:rsid w:val="00522F60"/>
    <w:rsid w:val="0052795B"/>
    <w:rsid w:val="00531F85"/>
    <w:rsid w:val="0053462B"/>
    <w:rsid w:val="00537861"/>
    <w:rsid w:val="00540534"/>
    <w:rsid w:val="00542172"/>
    <w:rsid w:val="00553326"/>
    <w:rsid w:val="0055367F"/>
    <w:rsid w:val="00554855"/>
    <w:rsid w:val="00566813"/>
    <w:rsid w:val="005747F4"/>
    <w:rsid w:val="0057497D"/>
    <w:rsid w:val="00580828"/>
    <w:rsid w:val="005816AF"/>
    <w:rsid w:val="0058652B"/>
    <w:rsid w:val="0058684C"/>
    <w:rsid w:val="005902AC"/>
    <w:rsid w:val="00595005"/>
    <w:rsid w:val="005971C5"/>
    <w:rsid w:val="0059754D"/>
    <w:rsid w:val="00597A79"/>
    <w:rsid w:val="005A03B1"/>
    <w:rsid w:val="005A539F"/>
    <w:rsid w:val="005A546E"/>
    <w:rsid w:val="005A5FE3"/>
    <w:rsid w:val="005A6314"/>
    <w:rsid w:val="005A6730"/>
    <w:rsid w:val="005A7C5E"/>
    <w:rsid w:val="005B2DEC"/>
    <w:rsid w:val="005B47C2"/>
    <w:rsid w:val="005C3F3F"/>
    <w:rsid w:val="005C618C"/>
    <w:rsid w:val="005D0C81"/>
    <w:rsid w:val="005D72E0"/>
    <w:rsid w:val="005E060C"/>
    <w:rsid w:val="005E3CD1"/>
    <w:rsid w:val="005E48B2"/>
    <w:rsid w:val="005F1EEC"/>
    <w:rsid w:val="005F3A12"/>
    <w:rsid w:val="005F4EF6"/>
    <w:rsid w:val="0060115F"/>
    <w:rsid w:val="00606EC5"/>
    <w:rsid w:val="00607D5B"/>
    <w:rsid w:val="00615C0A"/>
    <w:rsid w:val="00616FDB"/>
    <w:rsid w:val="006170C4"/>
    <w:rsid w:val="00617C3D"/>
    <w:rsid w:val="0062152E"/>
    <w:rsid w:val="006215E5"/>
    <w:rsid w:val="00622906"/>
    <w:rsid w:val="00623C0B"/>
    <w:rsid w:val="00623C33"/>
    <w:rsid w:val="00625B9B"/>
    <w:rsid w:val="00626267"/>
    <w:rsid w:val="006363DD"/>
    <w:rsid w:val="00636A72"/>
    <w:rsid w:val="00644D23"/>
    <w:rsid w:val="00645430"/>
    <w:rsid w:val="00647AE5"/>
    <w:rsid w:val="00650AC6"/>
    <w:rsid w:val="0065671A"/>
    <w:rsid w:val="00664D39"/>
    <w:rsid w:val="006655ED"/>
    <w:rsid w:val="00666BE3"/>
    <w:rsid w:val="00667331"/>
    <w:rsid w:val="0067499F"/>
    <w:rsid w:val="00676076"/>
    <w:rsid w:val="00676E5D"/>
    <w:rsid w:val="00677892"/>
    <w:rsid w:val="006800C8"/>
    <w:rsid w:val="00683220"/>
    <w:rsid w:val="00684494"/>
    <w:rsid w:val="00695967"/>
    <w:rsid w:val="00697F3D"/>
    <w:rsid w:val="006A08CA"/>
    <w:rsid w:val="006A2BF0"/>
    <w:rsid w:val="006A2D2C"/>
    <w:rsid w:val="006A4610"/>
    <w:rsid w:val="006A6338"/>
    <w:rsid w:val="006B5090"/>
    <w:rsid w:val="006B7265"/>
    <w:rsid w:val="006C0C58"/>
    <w:rsid w:val="006C235D"/>
    <w:rsid w:val="006C2A46"/>
    <w:rsid w:val="006C3B37"/>
    <w:rsid w:val="006C597C"/>
    <w:rsid w:val="006C5A6D"/>
    <w:rsid w:val="006D1D6F"/>
    <w:rsid w:val="006D2293"/>
    <w:rsid w:val="006E3C4E"/>
    <w:rsid w:val="006E4ECC"/>
    <w:rsid w:val="006F112D"/>
    <w:rsid w:val="006F2ADD"/>
    <w:rsid w:val="006F315B"/>
    <w:rsid w:val="007022CC"/>
    <w:rsid w:val="007107FB"/>
    <w:rsid w:val="007133BF"/>
    <w:rsid w:val="00716B67"/>
    <w:rsid w:val="00721F51"/>
    <w:rsid w:val="00724CD2"/>
    <w:rsid w:val="0072526C"/>
    <w:rsid w:val="007266F1"/>
    <w:rsid w:val="00726A53"/>
    <w:rsid w:val="00727BC1"/>
    <w:rsid w:val="00731B43"/>
    <w:rsid w:val="007321B0"/>
    <w:rsid w:val="00734347"/>
    <w:rsid w:val="007356C5"/>
    <w:rsid w:val="00736F87"/>
    <w:rsid w:val="00737169"/>
    <w:rsid w:val="0074069D"/>
    <w:rsid w:val="0074074B"/>
    <w:rsid w:val="0074319D"/>
    <w:rsid w:val="00743D01"/>
    <w:rsid w:val="007449D3"/>
    <w:rsid w:val="00745CF2"/>
    <w:rsid w:val="00746D1F"/>
    <w:rsid w:val="00750572"/>
    <w:rsid w:val="00762A6B"/>
    <w:rsid w:val="00765830"/>
    <w:rsid w:val="00767877"/>
    <w:rsid w:val="00770730"/>
    <w:rsid w:val="00773A5D"/>
    <w:rsid w:val="00775B74"/>
    <w:rsid w:val="00776B6B"/>
    <w:rsid w:val="0078053C"/>
    <w:rsid w:val="00782A10"/>
    <w:rsid w:val="00783449"/>
    <w:rsid w:val="0078360F"/>
    <w:rsid w:val="00783D56"/>
    <w:rsid w:val="00784652"/>
    <w:rsid w:val="00790D35"/>
    <w:rsid w:val="0079312B"/>
    <w:rsid w:val="00794351"/>
    <w:rsid w:val="00795021"/>
    <w:rsid w:val="00795348"/>
    <w:rsid w:val="00797DF8"/>
    <w:rsid w:val="007A2E47"/>
    <w:rsid w:val="007A330C"/>
    <w:rsid w:val="007A3BDC"/>
    <w:rsid w:val="007A48F5"/>
    <w:rsid w:val="007A4E4E"/>
    <w:rsid w:val="007A7272"/>
    <w:rsid w:val="007A75DC"/>
    <w:rsid w:val="007B3BB5"/>
    <w:rsid w:val="007B7CDC"/>
    <w:rsid w:val="007D2B41"/>
    <w:rsid w:val="007D2C7B"/>
    <w:rsid w:val="007D44C3"/>
    <w:rsid w:val="007D505C"/>
    <w:rsid w:val="007D6173"/>
    <w:rsid w:val="007D72DF"/>
    <w:rsid w:val="007E2D40"/>
    <w:rsid w:val="007E2D58"/>
    <w:rsid w:val="007E2FD2"/>
    <w:rsid w:val="007E5F16"/>
    <w:rsid w:val="007F2343"/>
    <w:rsid w:val="007F600A"/>
    <w:rsid w:val="00803654"/>
    <w:rsid w:val="0080490A"/>
    <w:rsid w:val="00811715"/>
    <w:rsid w:val="008145A9"/>
    <w:rsid w:val="00816AF3"/>
    <w:rsid w:val="00817B3C"/>
    <w:rsid w:val="008224C0"/>
    <w:rsid w:val="008276D2"/>
    <w:rsid w:val="00827EBE"/>
    <w:rsid w:val="00827F37"/>
    <w:rsid w:val="00833CB8"/>
    <w:rsid w:val="00835926"/>
    <w:rsid w:val="008373E3"/>
    <w:rsid w:val="00840A8C"/>
    <w:rsid w:val="008420D4"/>
    <w:rsid w:val="0084305F"/>
    <w:rsid w:val="00843EA5"/>
    <w:rsid w:val="0084433F"/>
    <w:rsid w:val="00855655"/>
    <w:rsid w:val="008566A1"/>
    <w:rsid w:val="008637C0"/>
    <w:rsid w:val="008642C0"/>
    <w:rsid w:val="00864E07"/>
    <w:rsid w:val="00864E21"/>
    <w:rsid w:val="008708C0"/>
    <w:rsid w:val="00875E69"/>
    <w:rsid w:val="0087607F"/>
    <w:rsid w:val="0088188D"/>
    <w:rsid w:val="00881D33"/>
    <w:rsid w:val="008848E0"/>
    <w:rsid w:val="008856E4"/>
    <w:rsid w:val="008913D3"/>
    <w:rsid w:val="00892E32"/>
    <w:rsid w:val="008932E1"/>
    <w:rsid w:val="008A4BE4"/>
    <w:rsid w:val="008A6054"/>
    <w:rsid w:val="008B3411"/>
    <w:rsid w:val="008B56D5"/>
    <w:rsid w:val="008C09B1"/>
    <w:rsid w:val="008C1D04"/>
    <w:rsid w:val="008C2C94"/>
    <w:rsid w:val="008C66B6"/>
    <w:rsid w:val="008D25B3"/>
    <w:rsid w:val="008D3898"/>
    <w:rsid w:val="008D4562"/>
    <w:rsid w:val="008E44F7"/>
    <w:rsid w:val="008E6549"/>
    <w:rsid w:val="008E6F36"/>
    <w:rsid w:val="008F0EE1"/>
    <w:rsid w:val="008F705C"/>
    <w:rsid w:val="00900077"/>
    <w:rsid w:val="00901506"/>
    <w:rsid w:val="0090695A"/>
    <w:rsid w:val="00906DBD"/>
    <w:rsid w:val="00910EC9"/>
    <w:rsid w:val="0091476C"/>
    <w:rsid w:val="00914C36"/>
    <w:rsid w:val="009233BE"/>
    <w:rsid w:val="009245D3"/>
    <w:rsid w:val="009254D1"/>
    <w:rsid w:val="009264A2"/>
    <w:rsid w:val="00927210"/>
    <w:rsid w:val="00927D13"/>
    <w:rsid w:val="009305A7"/>
    <w:rsid w:val="00931DEA"/>
    <w:rsid w:val="0093306E"/>
    <w:rsid w:val="0093767E"/>
    <w:rsid w:val="00940946"/>
    <w:rsid w:val="0094175F"/>
    <w:rsid w:val="00941ED6"/>
    <w:rsid w:val="009432CC"/>
    <w:rsid w:val="00964CB6"/>
    <w:rsid w:val="009700A1"/>
    <w:rsid w:val="009715C7"/>
    <w:rsid w:val="00976562"/>
    <w:rsid w:val="009801E6"/>
    <w:rsid w:val="009803A8"/>
    <w:rsid w:val="0098160E"/>
    <w:rsid w:val="00982E13"/>
    <w:rsid w:val="00983BCA"/>
    <w:rsid w:val="00990F81"/>
    <w:rsid w:val="00997971"/>
    <w:rsid w:val="009A53F0"/>
    <w:rsid w:val="009A64BC"/>
    <w:rsid w:val="009B0866"/>
    <w:rsid w:val="009B150B"/>
    <w:rsid w:val="009B3440"/>
    <w:rsid w:val="009B42FF"/>
    <w:rsid w:val="009B5DD5"/>
    <w:rsid w:val="009B6FB5"/>
    <w:rsid w:val="009B7200"/>
    <w:rsid w:val="009C6683"/>
    <w:rsid w:val="009C79F7"/>
    <w:rsid w:val="009C7E50"/>
    <w:rsid w:val="009D2F57"/>
    <w:rsid w:val="009D4CA0"/>
    <w:rsid w:val="009D5419"/>
    <w:rsid w:val="009D6DB9"/>
    <w:rsid w:val="009E2DD0"/>
    <w:rsid w:val="009E42FF"/>
    <w:rsid w:val="009E54F6"/>
    <w:rsid w:val="009F1BF5"/>
    <w:rsid w:val="009F2930"/>
    <w:rsid w:val="009F4D01"/>
    <w:rsid w:val="009F7109"/>
    <w:rsid w:val="00A0010A"/>
    <w:rsid w:val="00A02065"/>
    <w:rsid w:val="00A059DC"/>
    <w:rsid w:val="00A15583"/>
    <w:rsid w:val="00A1645C"/>
    <w:rsid w:val="00A16480"/>
    <w:rsid w:val="00A2203F"/>
    <w:rsid w:val="00A22675"/>
    <w:rsid w:val="00A2409F"/>
    <w:rsid w:val="00A241EF"/>
    <w:rsid w:val="00A31674"/>
    <w:rsid w:val="00A31FAC"/>
    <w:rsid w:val="00A33D41"/>
    <w:rsid w:val="00A3553D"/>
    <w:rsid w:val="00A36261"/>
    <w:rsid w:val="00A40790"/>
    <w:rsid w:val="00A44A96"/>
    <w:rsid w:val="00A44C13"/>
    <w:rsid w:val="00A47938"/>
    <w:rsid w:val="00A51496"/>
    <w:rsid w:val="00A517E4"/>
    <w:rsid w:val="00A57528"/>
    <w:rsid w:val="00A60DB5"/>
    <w:rsid w:val="00A61A36"/>
    <w:rsid w:val="00A6362E"/>
    <w:rsid w:val="00A637B2"/>
    <w:rsid w:val="00A63F98"/>
    <w:rsid w:val="00A6584F"/>
    <w:rsid w:val="00A66060"/>
    <w:rsid w:val="00A72558"/>
    <w:rsid w:val="00A75677"/>
    <w:rsid w:val="00A82019"/>
    <w:rsid w:val="00A8289C"/>
    <w:rsid w:val="00A86D17"/>
    <w:rsid w:val="00A8781A"/>
    <w:rsid w:val="00A91A76"/>
    <w:rsid w:val="00A936CB"/>
    <w:rsid w:val="00A96799"/>
    <w:rsid w:val="00A97043"/>
    <w:rsid w:val="00AA1243"/>
    <w:rsid w:val="00AA1B1C"/>
    <w:rsid w:val="00AB4FB6"/>
    <w:rsid w:val="00AC5CC4"/>
    <w:rsid w:val="00AD18DA"/>
    <w:rsid w:val="00AE047C"/>
    <w:rsid w:val="00AE1D14"/>
    <w:rsid w:val="00AF2CB2"/>
    <w:rsid w:val="00AF2E55"/>
    <w:rsid w:val="00B03CC0"/>
    <w:rsid w:val="00B03E39"/>
    <w:rsid w:val="00B04C70"/>
    <w:rsid w:val="00B07F06"/>
    <w:rsid w:val="00B12E48"/>
    <w:rsid w:val="00B13156"/>
    <w:rsid w:val="00B23251"/>
    <w:rsid w:val="00B271B8"/>
    <w:rsid w:val="00B351B6"/>
    <w:rsid w:val="00B52EAA"/>
    <w:rsid w:val="00B52F15"/>
    <w:rsid w:val="00B5564C"/>
    <w:rsid w:val="00B642BB"/>
    <w:rsid w:val="00B64B9F"/>
    <w:rsid w:val="00B66543"/>
    <w:rsid w:val="00B66819"/>
    <w:rsid w:val="00B702C2"/>
    <w:rsid w:val="00B747B3"/>
    <w:rsid w:val="00B805A0"/>
    <w:rsid w:val="00B83B5C"/>
    <w:rsid w:val="00B90489"/>
    <w:rsid w:val="00B921B4"/>
    <w:rsid w:val="00B931BD"/>
    <w:rsid w:val="00B94B63"/>
    <w:rsid w:val="00B9537D"/>
    <w:rsid w:val="00B95B2B"/>
    <w:rsid w:val="00B9797D"/>
    <w:rsid w:val="00BA160A"/>
    <w:rsid w:val="00BA45A6"/>
    <w:rsid w:val="00BA4C37"/>
    <w:rsid w:val="00BA7292"/>
    <w:rsid w:val="00BB0704"/>
    <w:rsid w:val="00BB0C00"/>
    <w:rsid w:val="00BB0E3B"/>
    <w:rsid w:val="00BB23E2"/>
    <w:rsid w:val="00BC39C8"/>
    <w:rsid w:val="00BC4549"/>
    <w:rsid w:val="00BC4C71"/>
    <w:rsid w:val="00BC5628"/>
    <w:rsid w:val="00BC5759"/>
    <w:rsid w:val="00BD0102"/>
    <w:rsid w:val="00BD1CAD"/>
    <w:rsid w:val="00BD4E82"/>
    <w:rsid w:val="00BE7F00"/>
    <w:rsid w:val="00BF0332"/>
    <w:rsid w:val="00BF7C82"/>
    <w:rsid w:val="00C00F2A"/>
    <w:rsid w:val="00C03984"/>
    <w:rsid w:val="00C06AB5"/>
    <w:rsid w:val="00C076CA"/>
    <w:rsid w:val="00C151E6"/>
    <w:rsid w:val="00C176DF"/>
    <w:rsid w:val="00C22950"/>
    <w:rsid w:val="00C27181"/>
    <w:rsid w:val="00C30F94"/>
    <w:rsid w:val="00C349CA"/>
    <w:rsid w:val="00C60BD8"/>
    <w:rsid w:val="00C60CA0"/>
    <w:rsid w:val="00C61C73"/>
    <w:rsid w:val="00C66173"/>
    <w:rsid w:val="00C66863"/>
    <w:rsid w:val="00C71E72"/>
    <w:rsid w:val="00C72882"/>
    <w:rsid w:val="00C7343B"/>
    <w:rsid w:val="00C73B08"/>
    <w:rsid w:val="00C7572E"/>
    <w:rsid w:val="00C81576"/>
    <w:rsid w:val="00C81BB9"/>
    <w:rsid w:val="00C81C86"/>
    <w:rsid w:val="00C837CB"/>
    <w:rsid w:val="00C87743"/>
    <w:rsid w:val="00C92F0D"/>
    <w:rsid w:val="00C93854"/>
    <w:rsid w:val="00C9765A"/>
    <w:rsid w:val="00C97A31"/>
    <w:rsid w:val="00CA04A8"/>
    <w:rsid w:val="00CA2C83"/>
    <w:rsid w:val="00CA3ED7"/>
    <w:rsid w:val="00CA6299"/>
    <w:rsid w:val="00CB020D"/>
    <w:rsid w:val="00CB0A3D"/>
    <w:rsid w:val="00CB135A"/>
    <w:rsid w:val="00CB27D0"/>
    <w:rsid w:val="00CB4D24"/>
    <w:rsid w:val="00CB63D8"/>
    <w:rsid w:val="00CC4BC1"/>
    <w:rsid w:val="00CC7694"/>
    <w:rsid w:val="00CD1E56"/>
    <w:rsid w:val="00CD31B5"/>
    <w:rsid w:val="00CD7463"/>
    <w:rsid w:val="00CD7809"/>
    <w:rsid w:val="00CE16F5"/>
    <w:rsid w:val="00CE29FF"/>
    <w:rsid w:val="00CE4C26"/>
    <w:rsid w:val="00CE6D82"/>
    <w:rsid w:val="00CF2A37"/>
    <w:rsid w:val="00CF4AEF"/>
    <w:rsid w:val="00CF583E"/>
    <w:rsid w:val="00CF6CDB"/>
    <w:rsid w:val="00CF7BD5"/>
    <w:rsid w:val="00D036EB"/>
    <w:rsid w:val="00D041C7"/>
    <w:rsid w:val="00D050C3"/>
    <w:rsid w:val="00D079F3"/>
    <w:rsid w:val="00D1091A"/>
    <w:rsid w:val="00D11FAB"/>
    <w:rsid w:val="00D12288"/>
    <w:rsid w:val="00D12316"/>
    <w:rsid w:val="00D175AF"/>
    <w:rsid w:val="00D205E4"/>
    <w:rsid w:val="00D2303F"/>
    <w:rsid w:val="00D24497"/>
    <w:rsid w:val="00D262EE"/>
    <w:rsid w:val="00D30858"/>
    <w:rsid w:val="00D320DF"/>
    <w:rsid w:val="00D32E1B"/>
    <w:rsid w:val="00D35335"/>
    <w:rsid w:val="00D37A1F"/>
    <w:rsid w:val="00D42FDF"/>
    <w:rsid w:val="00D43805"/>
    <w:rsid w:val="00D533EE"/>
    <w:rsid w:val="00D55329"/>
    <w:rsid w:val="00D5550E"/>
    <w:rsid w:val="00D611EF"/>
    <w:rsid w:val="00D63BBD"/>
    <w:rsid w:val="00D63F90"/>
    <w:rsid w:val="00D65751"/>
    <w:rsid w:val="00D66E36"/>
    <w:rsid w:val="00D70BF5"/>
    <w:rsid w:val="00D73171"/>
    <w:rsid w:val="00D76BEF"/>
    <w:rsid w:val="00D80E81"/>
    <w:rsid w:val="00D80FB1"/>
    <w:rsid w:val="00D8137C"/>
    <w:rsid w:val="00D84401"/>
    <w:rsid w:val="00D8646F"/>
    <w:rsid w:val="00D90630"/>
    <w:rsid w:val="00DA1F3D"/>
    <w:rsid w:val="00DA38CF"/>
    <w:rsid w:val="00DA46E6"/>
    <w:rsid w:val="00DB3390"/>
    <w:rsid w:val="00DB476D"/>
    <w:rsid w:val="00DB4B6C"/>
    <w:rsid w:val="00DB64F1"/>
    <w:rsid w:val="00DB700B"/>
    <w:rsid w:val="00DC1426"/>
    <w:rsid w:val="00DC1BA4"/>
    <w:rsid w:val="00DC2930"/>
    <w:rsid w:val="00DC4952"/>
    <w:rsid w:val="00DC4BB9"/>
    <w:rsid w:val="00DC637B"/>
    <w:rsid w:val="00DC64CC"/>
    <w:rsid w:val="00DD181C"/>
    <w:rsid w:val="00DD3B8E"/>
    <w:rsid w:val="00DD4E96"/>
    <w:rsid w:val="00DE08BA"/>
    <w:rsid w:val="00DE49DB"/>
    <w:rsid w:val="00DE5089"/>
    <w:rsid w:val="00DE5C83"/>
    <w:rsid w:val="00DE7B24"/>
    <w:rsid w:val="00DF0F61"/>
    <w:rsid w:val="00DF78B2"/>
    <w:rsid w:val="00E00D1D"/>
    <w:rsid w:val="00E05AF5"/>
    <w:rsid w:val="00E10032"/>
    <w:rsid w:val="00E101DE"/>
    <w:rsid w:val="00E12674"/>
    <w:rsid w:val="00E1351A"/>
    <w:rsid w:val="00E15B5E"/>
    <w:rsid w:val="00E167B2"/>
    <w:rsid w:val="00E20431"/>
    <w:rsid w:val="00E20731"/>
    <w:rsid w:val="00E20A71"/>
    <w:rsid w:val="00E32432"/>
    <w:rsid w:val="00E36955"/>
    <w:rsid w:val="00E43D43"/>
    <w:rsid w:val="00E458C2"/>
    <w:rsid w:val="00E462DD"/>
    <w:rsid w:val="00E47278"/>
    <w:rsid w:val="00E4766B"/>
    <w:rsid w:val="00E501E1"/>
    <w:rsid w:val="00E538B7"/>
    <w:rsid w:val="00E54F29"/>
    <w:rsid w:val="00E57D6A"/>
    <w:rsid w:val="00E62B3F"/>
    <w:rsid w:val="00E62DA4"/>
    <w:rsid w:val="00E63B54"/>
    <w:rsid w:val="00E64BA2"/>
    <w:rsid w:val="00E72DB9"/>
    <w:rsid w:val="00E7364C"/>
    <w:rsid w:val="00E74950"/>
    <w:rsid w:val="00E80159"/>
    <w:rsid w:val="00E84C9F"/>
    <w:rsid w:val="00E84CC3"/>
    <w:rsid w:val="00E860FC"/>
    <w:rsid w:val="00E86EFF"/>
    <w:rsid w:val="00E87F66"/>
    <w:rsid w:val="00E97BA9"/>
    <w:rsid w:val="00EA6F12"/>
    <w:rsid w:val="00EB032D"/>
    <w:rsid w:val="00EB27FF"/>
    <w:rsid w:val="00EB298F"/>
    <w:rsid w:val="00EB3E07"/>
    <w:rsid w:val="00EC0A66"/>
    <w:rsid w:val="00EC1768"/>
    <w:rsid w:val="00EC195C"/>
    <w:rsid w:val="00EC23C2"/>
    <w:rsid w:val="00EC2ADB"/>
    <w:rsid w:val="00EC2D1B"/>
    <w:rsid w:val="00EC4E84"/>
    <w:rsid w:val="00ED0173"/>
    <w:rsid w:val="00ED3545"/>
    <w:rsid w:val="00ED5A58"/>
    <w:rsid w:val="00EE6087"/>
    <w:rsid w:val="00EE6B5C"/>
    <w:rsid w:val="00F02BCE"/>
    <w:rsid w:val="00F05CF2"/>
    <w:rsid w:val="00F06717"/>
    <w:rsid w:val="00F07391"/>
    <w:rsid w:val="00F07737"/>
    <w:rsid w:val="00F13B2B"/>
    <w:rsid w:val="00F17FD4"/>
    <w:rsid w:val="00F2018F"/>
    <w:rsid w:val="00F22437"/>
    <w:rsid w:val="00F30B68"/>
    <w:rsid w:val="00F30F19"/>
    <w:rsid w:val="00F33DF4"/>
    <w:rsid w:val="00F34993"/>
    <w:rsid w:val="00F35BDD"/>
    <w:rsid w:val="00F35D95"/>
    <w:rsid w:val="00F364C0"/>
    <w:rsid w:val="00F415E6"/>
    <w:rsid w:val="00F4241E"/>
    <w:rsid w:val="00F4715A"/>
    <w:rsid w:val="00F501E7"/>
    <w:rsid w:val="00F61A90"/>
    <w:rsid w:val="00F66A70"/>
    <w:rsid w:val="00F67406"/>
    <w:rsid w:val="00F678AF"/>
    <w:rsid w:val="00F701DB"/>
    <w:rsid w:val="00F703A8"/>
    <w:rsid w:val="00F75A0B"/>
    <w:rsid w:val="00F77D32"/>
    <w:rsid w:val="00F800C0"/>
    <w:rsid w:val="00F87192"/>
    <w:rsid w:val="00F95D31"/>
    <w:rsid w:val="00F9762E"/>
    <w:rsid w:val="00FA386F"/>
    <w:rsid w:val="00FA3D8D"/>
    <w:rsid w:val="00FA3DE4"/>
    <w:rsid w:val="00FA7B2C"/>
    <w:rsid w:val="00FB0C24"/>
    <w:rsid w:val="00FB0C9D"/>
    <w:rsid w:val="00FB1318"/>
    <w:rsid w:val="00FB14E8"/>
    <w:rsid w:val="00FB1587"/>
    <w:rsid w:val="00FB1B54"/>
    <w:rsid w:val="00FB4250"/>
    <w:rsid w:val="00FB74AE"/>
    <w:rsid w:val="00FC014D"/>
    <w:rsid w:val="00FC01CA"/>
    <w:rsid w:val="00FC1410"/>
    <w:rsid w:val="00FC2753"/>
    <w:rsid w:val="00FC27D5"/>
    <w:rsid w:val="00FC434A"/>
    <w:rsid w:val="00FC4847"/>
    <w:rsid w:val="00FD2570"/>
    <w:rsid w:val="00FD2B00"/>
    <w:rsid w:val="00FD4199"/>
    <w:rsid w:val="00FD55FD"/>
    <w:rsid w:val="00FD5EE3"/>
    <w:rsid w:val="00FD64B4"/>
    <w:rsid w:val="00FD69B1"/>
    <w:rsid w:val="00FD6D08"/>
    <w:rsid w:val="00FD76F7"/>
    <w:rsid w:val="00FE5500"/>
    <w:rsid w:val="00FE6D6A"/>
    <w:rsid w:val="00FE72A6"/>
    <w:rsid w:val="00FE7ADF"/>
    <w:rsid w:val="00FF0C0A"/>
    <w:rsid w:val="00FF4AD7"/>
    <w:rsid w:val="00FF4CC8"/>
    <w:rsid w:val="00FF7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47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288"/>
    <w:rPr>
      <w:sz w:val="24"/>
      <w:szCs w:val="20"/>
      <w:lang w:val="uz-Cyrl-UZ"/>
    </w:rPr>
  </w:style>
  <w:style w:type="paragraph" w:styleId="Heading1">
    <w:name w:val="heading 1"/>
    <w:basedOn w:val="Normal"/>
    <w:next w:val="Normal"/>
    <w:link w:val="Heading1Char"/>
    <w:uiPriority w:val="9"/>
    <w:qFormat/>
    <w:rsid w:val="00403CF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03CF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403CFF"/>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403CFF"/>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403CFF"/>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403CFF"/>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403CFF"/>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403CF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03CF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CFF"/>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403CFF"/>
    <w:rPr>
      <w:caps/>
      <w:spacing w:val="15"/>
      <w:shd w:val="clear" w:color="auto" w:fill="DBE5F1" w:themeFill="accent1" w:themeFillTint="33"/>
    </w:rPr>
  </w:style>
  <w:style w:type="character" w:customStyle="1" w:styleId="Heading3Char">
    <w:name w:val="Heading 3 Char"/>
    <w:basedOn w:val="DefaultParagraphFont"/>
    <w:link w:val="Heading3"/>
    <w:uiPriority w:val="9"/>
    <w:rsid w:val="00403CFF"/>
    <w:rPr>
      <w:caps/>
      <w:color w:val="243F60" w:themeColor="accent1" w:themeShade="7F"/>
      <w:spacing w:val="15"/>
    </w:rPr>
  </w:style>
  <w:style w:type="character" w:customStyle="1" w:styleId="Heading4Char">
    <w:name w:val="Heading 4 Char"/>
    <w:basedOn w:val="DefaultParagraphFont"/>
    <w:link w:val="Heading4"/>
    <w:uiPriority w:val="9"/>
    <w:rsid w:val="00403CFF"/>
    <w:rPr>
      <w:caps/>
      <w:color w:val="365F91" w:themeColor="accent1" w:themeShade="BF"/>
      <w:spacing w:val="10"/>
    </w:rPr>
  </w:style>
  <w:style w:type="character" w:customStyle="1" w:styleId="Heading5Char">
    <w:name w:val="Heading 5 Char"/>
    <w:basedOn w:val="DefaultParagraphFont"/>
    <w:link w:val="Heading5"/>
    <w:uiPriority w:val="9"/>
    <w:rsid w:val="00403CFF"/>
    <w:rPr>
      <w:caps/>
      <w:color w:val="365F91" w:themeColor="accent1" w:themeShade="BF"/>
      <w:spacing w:val="10"/>
    </w:rPr>
  </w:style>
  <w:style w:type="character" w:customStyle="1" w:styleId="Heading6Char">
    <w:name w:val="Heading 6 Char"/>
    <w:basedOn w:val="DefaultParagraphFont"/>
    <w:link w:val="Heading6"/>
    <w:uiPriority w:val="9"/>
    <w:rsid w:val="00403CFF"/>
    <w:rPr>
      <w:caps/>
      <w:color w:val="365F91" w:themeColor="accent1" w:themeShade="BF"/>
      <w:spacing w:val="10"/>
    </w:rPr>
  </w:style>
  <w:style w:type="character" w:customStyle="1" w:styleId="Heading7Char">
    <w:name w:val="Heading 7 Char"/>
    <w:basedOn w:val="DefaultParagraphFont"/>
    <w:link w:val="Heading7"/>
    <w:uiPriority w:val="9"/>
    <w:rsid w:val="00403CFF"/>
    <w:rPr>
      <w:caps/>
      <w:color w:val="365F91" w:themeColor="accent1" w:themeShade="BF"/>
      <w:spacing w:val="10"/>
    </w:rPr>
  </w:style>
  <w:style w:type="character" w:customStyle="1" w:styleId="Heading8Char">
    <w:name w:val="Heading 8 Char"/>
    <w:basedOn w:val="DefaultParagraphFont"/>
    <w:link w:val="Heading8"/>
    <w:uiPriority w:val="9"/>
    <w:semiHidden/>
    <w:rsid w:val="00403CFF"/>
    <w:rPr>
      <w:caps/>
      <w:spacing w:val="10"/>
      <w:sz w:val="18"/>
      <w:szCs w:val="18"/>
    </w:rPr>
  </w:style>
  <w:style w:type="character" w:customStyle="1" w:styleId="Heading9Char">
    <w:name w:val="Heading 9 Char"/>
    <w:basedOn w:val="DefaultParagraphFont"/>
    <w:link w:val="Heading9"/>
    <w:uiPriority w:val="9"/>
    <w:semiHidden/>
    <w:rsid w:val="00403CFF"/>
    <w:rPr>
      <w:i/>
      <w:caps/>
      <w:spacing w:val="10"/>
      <w:sz w:val="18"/>
      <w:szCs w:val="18"/>
    </w:rPr>
  </w:style>
  <w:style w:type="paragraph" w:styleId="Caption">
    <w:name w:val="caption"/>
    <w:basedOn w:val="Normal"/>
    <w:next w:val="Normal"/>
    <w:uiPriority w:val="35"/>
    <w:semiHidden/>
    <w:unhideWhenUsed/>
    <w:qFormat/>
    <w:rsid w:val="00403CFF"/>
    <w:rPr>
      <w:b/>
      <w:bCs/>
      <w:color w:val="365F91" w:themeColor="accent1" w:themeShade="BF"/>
      <w:sz w:val="16"/>
      <w:szCs w:val="16"/>
    </w:rPr>
  </w:style>
  <w:style w:type="paragraph" w:styleId="Title">
    <w:name w:val="Title"/>
    <w:basedOn w:val="Normal"/>
    <w:next w:val="Normal"/>
    <w:link w:val="TitleChar"/>
    <w:uiPriority w:val="10"/>
    <w:qFormat/>
    <w:rsid w:val="00403CFF"/>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403CFF"/>
    <w:rPr>
      <w:caps/>
      <w:color w:val="4F81BD" w:themeColor="accent1"/>
      <w:spacing w:val="10"/>
      <w:kern w:val="28"/>
      <w:sz w:val="52"/>
      <w:szCs w:val="52"/>
    </w:rPr>
  </w:style>
  <w:style w:type="paragraph" w:styleId="Subtitle">
    <w:name w:val="Subtitle"/>
    <w:basedOn w:val="Normal"/>
    <w:next w:val="Normal"/>
    <w:link w:val="SubtitleChar"/>
    <w:uiPriority w:val="11"/>
    <w:qFormat/>
    <w:rsid w:val="00403CFF"/>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403CFF"/>
    <w:rPr>
      <w:caps/>
      <w:color w:val="595959" w:themeColor="text1" w:themeTint="A6"/>
      <w:spacing w:val="10"/>
      <w:sz w:val="24"/>
      <w:szCs w:val="24"/>
    </w:rPr>
  </w:style>
  <w:style w:type="character" w:styleId="Strong">
    <w:name w:val="Strong"/>
    <w:uiPriority w:val="22"/>
    <w:qFormat/>
    <w:rsid w:val="00403CFF"/>
    <w:rPr>
      <w:b/>
      <w:bCs/>
    </w:rPr>
  </w:style>
  <w:style w:type="character" w:styleId="Emphasis">
    <w:name w:val="Emphasis"/>
    <w:uiPriority w:val="20"/>
    <w:qFormat/>
    <w:rsid w:val="00403CFF"/>
    <w:rPr>
      <w:caps/>
      <w:color w:val="243F60" w:themeColor="accent1" w:themeShade="7F"/>
      <w:spacing w:val="5"/>
    </w:rPr>
  </w:style>
  <w:style w:type="paragraph" w:styleId="NoSpacing">
    <w:name w:val="No Spacing"/>
    <w:basedOn w:val="Normal"/>
    <w:link w:val="NoSpacingChar"/>
    <w:uiPriority w:val="1"/>
    <w:qFormat/>
    <w:rsid w:val="00403CFF"/>
    <w:pPr>
      <w:spacing w:before="0" w:after="0" w:line="240" w:lineRule="auto"/>
    </w:pPr>
  </w:style>
  <w:style w:type="character" w:customStyle="1" w:styleId="NoSpacingChar">
    <w:name w:val="No Spacing Char"/>
    <w:basedOn w:val="DefaultParagraphFont"/>
    <w:link w:val="NoSpacing"/>
    <w:uiPriority w:val="1"/>
    <w:rsid w:val="00403CFF"/>
    <w:rPr>
      <w:sz w:val="20"/>
      <w:szCs w:val="20"/>
    </w:rPr>
  </w:style>
  <w:style w:type="paragraph" w:styleId="ListParagraph">
    <w:name w:val="List Paragraph"/>
    <w:basedOn w:val="Normal"/>
    <w:uiPriority w:val="34"/>
    <w:qFormat/>
    <w:rsid w:val="00403CFF"/>
    <w:pPr>
      <w:ind w:left="720"/>
      <w:contextualSpacing/>
    </w:pPr>
  </w:style>
  <w:style w:type="paragraph" w:styleId="Quote">
    <w:name w:val="Quote"/>
    <w:basedOn w:val="Normal"/>
    <w:next w:val="Normal"/>
    <w:link w:val="QuoteChar"/>
    <w:uiPriority w:val="29"/>
    <w:qFormat/>
    <w:rsid w:val="00403CFF"/>
    <w:rPr>
      <w:i/>
      <w:iCs/>
    </w:rPr>
  </w:style>
  <w:style w:type="character" w:customStyle="1" w:styleId="QuoteChar">
    <w:name w:val="Quote Char"/>
    <w:basedOn w:val="DefaultParagraphFont"/>
    <w:link w:val="Quote"/>
    <w:uiPriority w:val="29"/>
    <w:rsid w:val="00403CFF"/>
    <w:rPr>
      <w:i/>
      <w:iCs/>
      <w:sz w:val="20"/>
      <w:szCs w:val="20"/>
    </w:rPr>
  </w:style>
  <w:style w:type="paragraph" w:styleId="IntenseQuote">
    <w:name w:val="Intense Quote"/>
    <w:basedOn w:val="Normal"/>
    <w:next w:val="Normal"/>
    <w:link w:val="IntenseQuoteChar"/>
    <w:uiPriority w:val="30"/>
    <w:qFormat/>
    <w:rsid w:val="00403CF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403CFF"/>
    <w:rPr>
      <w:i/>
      <w:iCs/>
      <w:color w:val="4F81BD" w:themeColor="accent1"/>
      <w:sz w:val="20"/>
      <w:szCs w:val="20"/>
    </w:rPr>
  </w:style>
  <w:style w:type="character" w:styleId="SubtleEmphasis">
    <w:name w:val="Subtle Emphasis"/>
    <w:uiPriority w:val="19"/>
    <w:qFormat/>
    <w:rsid w:val="00403CFF"/>
    <w:rPr>
      <w:i/>
      <w:iCs/>
      <w:color w:val="243F60" w:themeColor="accent1" w:themeShade="7F"/>
    </w:rPr>
  </w:style>
  <w:style w:type="character" w:styleId="IntenseEmphasis">
    <w:name w:val="Intense Emphasis"/>
    <w:uiPriority w:val="21"/>
    <w:qFormat/>
    <w:rsid w:val="00403CFF"/>
    <w:rPr>
      <w:b/>
      <w:bCs/>
      <w:caps/>
      <w:color w:val="243F60" w:themeColor="accent1" w:themeShade="7F"/>
      <w:spacing w:val="10"/>
    </w:rPr>
  </w:style>
  <w:style w:type="character" w:styleId="SubtleReference">
    <w:name w:val="Subtle Reference"/>
    <w:uiPriority w:val="31"/>
    <w:qFormat/>
    <w:rsid w:val="00403CFF"/>
    <w:rPr>
      <w:b/>
      <w:bCs/>
      <w:color w:val="4F81BD" w:themeColor="accent1"/>
    </w:rPr>
  </w:style>
  <w:style w:type="character" w:styleId="IntenseReference">
    <w:name w:val="Intense Reference"/>
    <w:uiPriority w:val="32"/>
    <w:qFormat/>
    <w:rsid w:val="00403CFF"/>
    <w:rPr>
      <w:b/>
      <w:bCs/>
      <w:i/>
      <w:iCs/>
      <w:caps/>
      <w:color w:val="4F81BD" w:themeColor="accent1"/>
    </w:rPr>
  </w:style>
  <w:style w:type="character" w:styleId="BookTitle">
    <w:name w:val="Book Title"/>
    <w:uiPriority w:val="33"/>
    <w:qFormat/>
    <w:rsid w:val="00403CFF"/>
    <w:rPr>
      <w:b/>
      <w:bCs/>
      <w:i/>
      <w:iCs/>
      <w:spacing w:val="9"/>
    </w:rPr>
  </w:style>
  <w:style w:type="paragraph" w:styleId="TOCHeading">
    <w:name w:val="TOC Heading"/>
    <w:basedOn w:val="Heading1"/>
    <w:next w:val="Normal"/>
    <w:uiPriority w:val="39"/>
    <w:semiHidden/>
    <w:unhideWhenUsed/>
    <w:qFormat/>
    <w:rsid w:val="00403CFF"/>
    <w:pPr>
      <w:outlineLvl w:val="9"/>
    </w:pPr>
    <w:rPr>
      <w:lang w:bidi="en-US"/>
    </w:rPr>
  </w:style>
  <w:style w:type="paragraph" w:customStyle="1" w:styleId="reference">
    <w:name w:val="reference"/>
    <w:basedOn w:val="Normal"/>
    <w:rsid w:val="00131C85"/>
    <w:pPr>
      <w:spacing w:before="100" w:beforeAutospacing="1" w:after="100" w:afterAutospacing="1" w:line="240" w:lineRule="auto"/>
    </w:pPr>
    <w:rPr>
      <w:rFonts w:ascii="Times New Roman" w:eastAsia="Times New Roman" w:hAnsi="Times New Roman" w:cs="Times New Roman"/>
      <w:szCs w:val="24"/>
    </w:rPr>
  </w:style>
  <w:style w:type="paragraph" w:styleId="NormalWeb">
    <w:name w:val="Normal (Web)"/>
    <w:basedOn w:val="Normal"/>
    <w:uiPriority w:val="99"/>
    <w:semiHidden/>
    <w:unhideWhenUsed/>
    <w:rsid w:val="00131C85"/>
    <w:pPr>
      <w:spacing w:before="100" w:beforeAutospacing="1" w:after="100"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131C8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C85"/>
    <w:rPr>
      <w:rFonts w:ascii="Tahoma" w:hAnsi="Tahoma" w:cs="Tahoma"/>
      <w:sz w:val="16"/>
      <w:szCs w:val="16"/>
    </w:rPr>
  </w:style>
  <w:style w:type="paragraph" w:styleId="FootnoteText">
    <w:name w:val="footnote text"/>
    <w:basedOn w:val="Normal"/>
    <w:link w:val="FootnoteTextChar"/>
    <w:uiPriority w:val="99"/>
    <w:unhideWhenUsed/>
    <w:rsid w:val="00BB23E2"/>
    <w:pPr>
      <w:spacing w:before="0" w:after="0" w:line="240" w:lineRule="auto"/>
    </w:pPr>
    <w:rPr>
      <w:sz w:val="20"/>
    </w:rPr>
  </w:style>
  <w:style w:type="character" w:customStyle="1" w:styleId="FootnoteTextChar">
    <w:name w:val="Footnote Text Char"/>
    <w:basedOn w:val="DefaultParagraphFont"/>
    <w:link w:val="FootnoteText"/>
    <w:uiPriority w:val="99"/>
    <w:rsid w:val="00BB23E2"/>
    <w:rPr>
      <w:sz w:val="20"/>
      <w:szCs w:val="20"/>
    </w:rPr>
  </w:style>
  <w:style w:type="character" w:styleId="FootnoteReference">
    <w:name w:val="footnote reference"/>
    <w:basedOn w:val="DefaultParagraphFont"/>
    <w:uiPriority w:val="99"/>
    <w:unhideWhenUsed/>
    <w:rsid w:val="00BB23E2"/>
    <w:rPr>
      <w:vertAlign w:val="superscript"/>
    </w:rPr>
  </w:style>
  <w:style w:type="paragraph" w:styleId="TOC2">
    <w:name w:val="toc 2"/>
    <w:basedOn w:val="Normal"/>
    <w:next w:val="Normal"/>
    <w:autoRedefine/>
    <w:uiPriority w:val="39"/>
    <w:unhideWhenUsed/>
    <w:rsid w:val="00313741"/>
    <w:pPr>
      <w:spacing w:after="100"/>
      <w:ind w:left="240"/>
    </w:pPr>
  </w:style>
  <w:style w:type="paragraph" w:styleId="TOC3">
    <w:name w:val="toc 3"/>
    <w:basedOn w:val="Normal"/>
    <w:next w:val="Normal"/>
    <w:autoRedefine/>
    <w:uiPriority w:val="39"/>
    <w:unhideWhenUsed/>
    <w:rsid w:val="00313741"/>
    <w:pPr>
      <w:spacing w:after="100"/>
      <w:ind w:left="480"/>
    </w:pPr>
  </w:style>
  <w:style w:type="character" w:styleId="Hyperlink">
    <w:name w:val="Hyperlink"/>
    <w:basedOn w:val="DefaultParagraphFont"/>
    <w:uiPriority w:val="99"/>
    <w:unhideWhenUsed/>
    <w:rsid w:val="00313741"/>
    <w:rPr>
      <w:color w:val="0000FF" w:themeColor="hyperlink"/>
      <w:u w:val="single"/>
    </w:rPr>
  </w:style>
  <w:style w:type="character" w:styleId="FollowedHyperlink">
    <w:name w:val="FollowedHyperlink"/>
    <w:basedOn w:val="DefaultParagraphFont"/>
    <w:uiPriority w:val="99"/>
    <w:semiHidden/>
    <w:unhideWhenUsed/>
    <w:rsid w:val="006C597C"/>
    <w:rPr>
      <w:color w:val="800080" w:themeColor="followedHyperlink"/>
      <w:u w:val="single"/>
    </w:rPr>
  </w:style>
  <w:style w:type="character" w:customStyle="1" w:styleId="apple-converted-space">
    <w:name w:val="apple-converted-space"/>
    <w:basedOn w:val="DefaultParagraphFont"/>
    <w:rsid w:val="001B1439"/>
  </w:style>
  <w:style w:type="paragraph" w:styleId="Header">
    <w:name w:val="header"/>
    <w:basedOn w:val="Normal"/>
    <w:link w:val="HeaderChar"/>
    <w:uiPriority w:val="99"/>
    <w:unhideWhenUsed/>
    <w:rsid w:val="0014569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45698"/>
    <w:rPr>
      <w:sz w:val="24"/>
      <w:szCs w:val="20"/>
      <w:lang w:val="uz-Cyrl-UZ"/>
    </w:rPr>
  </w:style>
  <w:style w:type="paragraph" w:styleId="Footer">
    <w:name w:val="footer"/>
    <w:basedOn w:val="Normal"/>
    <w:link w:val="FooterChar"/>
    <w:uiPriority w:val="99"/>
    <w:unhideWhenUsed/>
    <w:rsid w:val="0014569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45698"/>
    <w:rPr>
      <w:sz w:val="24"/>
      <w:szCs w:val="20"/>
      <w:lang w:val="uz-Cyrl-UZ"/>
    </w:rPr>
  </w:style>
  <w:style w:type="character" w:styleId="CommentReference">
    <w:name w:val="annotation reference"/>
    <w:basedOn w:val="DefaultParagraphFont"/>
    <w:uiPriority w:val="99"/>
    <w:semiHidden/>
    <w:unhideWhenUsed/>
    <w:rsid w:val="00E43D43"/>
    <w:rPr>
      <w:sz w:val="18"/>
      <w:szCs w:val="18"/>
    </w:rPr>
  </w:style>
  <w:style w:type="paragraph" w:styleId="CommentText">
    <w:name w:val="annotation text"/>
    <w:basedOn w:val="Normal"/>
    <w:link w:val="CommentTextChar"/>
    <w:uiPriority w:val="99"/>
    <w:semiHidden/>
    <w:unhideWhenUsed/>
    <w:rsid w:val="00E43D43"/>
    <w:pPr>
      <w:spacing w:line="240" w:lineRule="auto"/>
    </w:pPr>
    <w:rPr>
      <w:szCs w:val="24"/>
    </w:rPr>
  </w:style>
  <w:style w:type="character" w:customStyle="1" w:styleId="CommentTextChar">
    <w:name w:val="Comment Text Char"/>
    <w:basedOn w:val="DefaultParagraphFont"/>
    <w:link w:val="CommentText"/>
    <w:uiPriority w:val="99"/>
    <w:semiHidden/>
    <w:rsid w:val="00E43D43"/>
    <w:rPr>
      <w:sz w:val="24"/>
      <w:szCs w:val="24"/>
      <w:lang w:val="uz-Cyrl-UZ"/>
    </w:rPr>
  </w:style>
  <w:style w:type="paragraph" w:styleId="CommentSubject">
    <w:name w:val="annotation subject"/>
    <w:basedOn w:val="CommentText"/>
    <w:next w:val="CommentText"/>
    <w:link w:val="CommentSubjectChar"/>
    <w:uiPriority w:val="99"/>
    <w:semiHidden/>
    <w:unhideWhenUsed/>
    <w:rsid w:val="00E43D43"/>
    <w:rPr>
      <w:b/>
      <w:bCs/>
      <w:sz w:val="20"/>
      <w:szCs w:val="20"/>
    </w:rPr>
  </w:style>
  <w:style w:type="character" w:customStyle="1" w:styleId="CommentSubjectChar">
    <w:name w:val="Comment Subject Char"/>
    <w:basedOn w:val="CommentTextChar"/>
    <w:link w:val="CommentSubject"/>
    <w:uiPriority w:val="99"/>
    <w:semiHidden/>
    <w:rsid w:val="00E43D43"/>
    <w:rPr>
      <w:b/>
      <w:bCs/>
      <w:sz w:val="20"/>
      <w:szCs w:val="20"/>
      <w:lang w:val="uz-Cyrl-UZ"/>
    </w:rPr>
  </w:style>
  <w:style w:type="character" w:styleId="PageNumber">
    <w:name w:val="page number"/>
    <w:basedOn w:val="DefaultParagraphFont"/>
    <w:uiPriority w:val="99"/>
    <w:semiHidden/>
    <w:unhideWhenUsed/>
    <w:rsid w:val="00CF583E"/>
  </w:style>
  <w:style w:type="paragraph" w:styleId="Revision">
    <w:name w:val="Revision"/>
    <w:hidden/>
    <w:uiPriority w:val="99"/>
    <w:semiHidden/>
    <w:rsid w:val="002C3DE0"/>
    <w:pPr>
      <w:spacing w:before="0" w:after="0" w:line="240" w:lineRule="auto"/>
    </w:pPr>
    <w:rPr>
      <w:sz w:val="24"/>
      <w:szCs w:val="20"/>
      <w:lang w:val="uz-Cyrl-U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288"/>
    <w:rPr>
      <w:sz w:val="24"/>
      <w:szCs w:val="20"/>
      <w:lang w:val="uz-Cyrl-UZ"/>
    </w:rPr>
  </w:style>
  <w:style w:type="paragraph" w:styleId="Heading1">
    <w:name w:val="heading 1"/>
    <w:basedOn w:val="Normal"/>
    <w:next w:val="Normal"/>
    <w:link w:val="Heading1Char"/>
    <w:uiPriority w:val="9"/>
    <w:qFormat/>
    <w:rsid w:val="00403CF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03CF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403CFF"/>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403CFF"/>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403CFF"/>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403CFF"/>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403CFF"/>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403CF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03CF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CFF"/>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403CFF"/>
    <w:rPr>
      <w:caps/>
      <w:spacing w:val="15"/>
      <w:shd w:val="clear" w:color="auto" w:fill="DBE5F1" w:themeFill="accent1" w:themeFillTint="33"/>
    </w:rPr>
  </w:style>
  <w:style w:type="character" w:customStyle="1" w:styleId="Heading3Char">
    <w:name w:val="Heading 3 Char"/>
    <w:basedOn w:val="DefaultParagraphFont"/>
    <w:link w:val="Heading3"/>
    <w:uiPriority w:val="9"/>
    <w:rsid w:val="00403CFF"/>
    <w:rPr>
      <w:caps/>
      <w:color w:val="243F60" w:themeColor="accent1" w:themeShade="7F"/>
      <w:spacing w:val="15"/>
    </w:rPr>
  </w:style>
  <w:style w:type="character" w:customStyle="1" w:styleId="Heading4Char">
    <w:name w:val="Heading 4 Char"/>
    <w:basedOn w:val="DefaultParagraphFont"/>
    <w:link w:val="Heading4"/>
    <w:uiPriority w:val="9"/>
    <w:rsid w:val="00403CFF"/>
    <w:rPr>
      <w:caps/>
      <w:color w:val="365F91" w:themeColor="accent1" w:themeShade="BF"/>
      <w:spacing w:val="10"/>
    </w:rPr>
  </w:style>
  <w:style w:type="character" w:customStyle="1" w:styleId="Heading5Char">
    <w:name w:val="Heading 5 Char"/>
    <w:basedOn w:val="DefaultParagraphFont"/>
    <w:link w:val="Heading5"/>
    <w:uiPriority w:val="9"/>
    <w:rsid w:val="00403CFF"/>
    <w:rPr>
      <w:caps/>
      <w:color w:val="365F91" w:themeColor="accent1" w:themeShade="BF"/>
      <w:spacing w:val="10"/>
    </w:rPr>
  </w:style>
  <w:style w:type="character" w:customStyle="1" w:styleId="Heading6Char">
    <w:name w:val="Heading 6 Char"/>
    <w:basedOn w:val="DefaultParagraphFont"/>
    <w:link w:val="Heading6"/>
    <w:uiPriority w:val="9"/>
    <w:rsid w:val="00403CFF"/>
    <w:rPr>
      <w:caps/>
      <w:color w:val="365F91" w:themeColor="accent1" w:themeShade="BF"/>
      <w:spacing w:val="10"/>
    </w:rPr>
  </w:style>
  <w:style w:type="character" w:customStyle="1" w:styleId="Heading7Char">
    <w:name w:val="Heading 7 Char"/>
    <w:basedOn w:val="DefaultParagraphFont"/>
    <w:link w:val="Heading7"/>
    <w:uiPriority w:val="9"/>
    <w:rsid w:val="00403CFF"/>
    <w:rPr>
      <w:caps/>
      <w:color w:val="365F91" w:themeColor="accent1" w:themeShade="BF"/>
      <w:spacing w:val="10"/>
    </w:rPr>
  </w:style>
  <w:style w:type="character" w:customStyle="1" w:styleId="Heading8Char">
    <w:name w:val="Heading 8 Char"/>
    <w:basedOn w:val="DefaultParagraphFont"/>
    <w:link w:val="Heading8"/>
    <w:uiPriority w:val="9"/>
    <w:semiHidden/>
    <w:rsid w:val="00403CFF"/>
    <w:rPr>
      <w:caps/>
      <w:spacing w:val="10"/>
      <w:sz w:val="18"/>
      <w:szCs w:val="18"/>
    </w:rPr>
  </w:style>
  <w:style w:type="character" w:customStyle="1" w:styleId="Heading9Char">
    <w:name w:val="Heading 9 Char"/>
    <w:basedOn w:val="DefaultParagraphFont"/>
    <w:link w:val="Heading9"/>
    <w:uiPriority w:val="9"/>
    <w:semiHidden/>
    <w:rsid w:val="00403CFF"/>
    <w:rPr>
      <w:i/>
      <w:caps/>
      <w:spacing w:val="10"/>
      <w:sz w:val="18"/>
      <w:szCs w:val="18"/>
    </w:rPr>
  </w:style>
  <w:style w:type="paragraph" w:styleId="Caption">
    <w:name w:val="caption"/>
    <w:basedOn w:val="Normal"/>
    <w:next w:val="Normal"/>
    <w:uiPriority w:val="35"/>
    <w:semiHidden/>
    <w:unhideWhenUsed/>
    <w:qFormat/>
    <w:rsid w:val="00403CFF"/>
    <w:rPr>
      <w:b/>
      <w:bCs/>
      <w:color w:val="365F91" w:themeColor="accent1" w:themeShade="BF"/>
      <w:sz w:val="16"/>
      <w:szCs w:val="16"/>
    </w:rPr>
  </w:style>
  <w:style w:type="paragraph" w:styleId="Title">
    <w:name w:val="Title"/>
    <w:basedOn w:val="Normal"/>
    <w:next w:val="Normal"/>
    <w:link w:val="TitleChar"/>
    <w:uiPriority w:val="10"/>
    <w:qFormat/>
    <w:rsid w:val="00403CFF"/>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403CFF"/>
    <w:rPr>
      <w:caps/>
      <w:color w:val="4F81BD" w:themeColor="accent1"/>
      <w:spacing w:val="10"/>
      <w:kern w:val="28"/>
      <w:sz w:val="52"/>
      <w:szCs w:val="52"/>
    </w:rPr>
  </w:style>
  <w:style w:type="paragraph" w:styleId="Subtitle">
    <w:name w:val="Subtitle"/>
    <w:basedOn w:val="Normal"/>
    <w:next w:val="Normal"/>
    <w:link w:val="SubtitleChar"/>
    <w:uiPriority w:val="11"/>
    <w:qFormat/>
    <w:rsid w:val="00403CFF"/>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403CFF"/>
    <w:rPr>
      <w:caps/>
      <w:color w:val="595959" w:themeColor="text1" w:themeTint="A6"/>
      <w:spacing w:val="10"/>
      <w:sz w:val="24"/>
      <w:szCs w:val="24"/>
    </w:rPr>
  </w:style>
  <w:style w:type="character" w:styleId="Strong">
    <w:name w:val="Strong"/>
    <w:uiPriority w:val="22"/>
    <w:qFormat/>
    <w:rsid w:val="00403CFF"/>
    <w:rPr>
      <w:b/>
      <w:bCs/>
    </w:rPr>
  </w:style>
  <w:style w:type="character" w:styleId="Emphasis">
    <w:name w:val="Emphasis"/>
    <w:uiPriority w:val="20"/>
    <w:qFormat/>
    <w:rsid w:val="00403CFF"/>
    <w:rPr>
      <w:caps/>
      <w:color w:val="243F60" w:themeColor="accent1" w:themeShade="7F"/>
      <w:spacing w:val="5"/>
    </w:rPr>
  </w:style>
  <w:style w:type="paragraph" w:styleId="NoSpacing">
    <w:name w:val="No Spacing"/>
    <w:basedOn w:val="Normal"/>
    <w:link w:val="NoSpacingChar"/>
    <w:uiPriority w:val="1"/>
    <w:qFormat/>
    <w:rsid w:val="00403CFF"/>
    <w:pPr>
      <w:spacing w:before="0" w:after="0" w:line="240" w:lineRule="auto"/>
    </w:pPr>
  </w:style>
  <w:style w:type="character" w:customStyle="1" w:styleId="NoSpacingChar">
    <w:name w:val="No Spacing Char"/>
    <w:basedOn w:val="DefaultParagraphFont"/>
    <w:link w:val="NoSpacing"/>
    <w:uiPriority w:val="1"/>
    <w:rsid w:val="00403CFF"/>
    <w:rPr>
      <w:sz w:val="20"/>
      <w:szCs w:val="20"/>
    </w:rPr>
  </w:style>
  <w:style w:type="paragraph" w:styleId="ListParagraph">
    <w:name w:val="List Paragraph"/>
    <w:basedOn w:val="Normal"/>
    <w:uiPriority w:val="34"/>
    <w:qFormat/>
    <w:rsid w:val="00403CFF"/>
    <w:pPr>
      <w:ind w:left="720"/>
      <w:contextualSpacing/>
    </w:pPr>
  </w:style>
  <w:style w:type="paragraph" w:styleId="Quote">
    <w:name w:val="Quote"/>
    <w:basedOn w:val="Normal"/>
    <w:next w:val="Normal"/>
    <w:link w:val="QuoteChar"/>
    <w:uiPriority w:val="29"/>
    <w:qFormat/>
    <w:rsid w:val="00403CFF"/>
    <w:rPr>
      <w:i/>
      <w:iCs/>
    </w:rPr>
  </w:style>
  <w:style w:type="character" w:customStyle="1" w:styleId="QuoteChar">
    <w:name w:val="Quote Char"/>
    <w:basedOn w:val="DefaultParagraphFont"/>
    <w:link w:val="Quote"/>
    <w:uiPriority w:val="29"/>
    <w:rsid w:val="00403CFF"/>
    <w:rPr>
      <w:i/>
      <w:iCs/>
      <w:sz w:val="20"/>
      <w:szCs w:val="20"/>
    </w:rPr>
  </w:style>
  <w:style w:type="paragraph" w:styleId="IntenseQuote">
    <w:name w:val="Intense Quote"/>
    <w:basedOn w:val="Normal"/>
    <w:next w:val="Normal"/>
    <w:link w:val="IntenseQuoteChar"/>
    <w:uiPriority w:val="30"/>
    <w:qFormat/>
    <w:rsid w:val="00403CF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403CFF"/>
    <w:rPr>
      <w:i/>
      <w:iCs/>
      <w:color w:val="4F81BD" w:themeColor="accent1"/>
      <w:sz w:val="20"/>
      <w:szCs w:val="20"/>
    </w:rPr>
  </w:style>
  <w:style w:type="character" w:styleId="SubtleEmphasis">
    <w:name w:val="Subtle Emphasis"/>
    <w:uiPriority w:val="19"/>
    <w:qFormat/>
    <w:rsid w:val="00403CFF"/>
    <w:rPr>
      <w:i/>
      <w:iCs/>
      <w:color w:val="243F60" w:themeColor="accent1" w:themeShade="7F"/>
    </w:rPr>
  </w:style>
  <w:style w:type="character" w:styleId="IntenseEmphasis">
    <w:name w:val="Intense Emphasis"/>
    <w:uiPriority w:val="21"/>
    <w:qFormat/>
    <w:rsid w:val="00403CFF"/>
    <w:rPr>
      <w:b/>
      <w:bCs/>
      <w:caps/>
      <w:color w:val="243F60" w:themeColor="accent1" w:themeShade="7F"/>
      <w:spacing w:val="10"/>
    </w:rPr>
  </w:style>
  <w:style w:type="character" w:styleId="SubtleReference">
    <w:name w:val="Subtle Reference"/>
    <w:uiPriority w:val="31"/>
    <w:qFormat/>
    <w:rsid w:val="00403CFF"/>
    <w:rPr>
      <w:b/>
      <w:bCs/>
      <w:color w:val="4F81BD" w:themeColor="accent1"/>
    </w:rPr>
  </w:style>
  <w:style w:type="character" w:styleId="IntenseReference">
    <w:name w:val="Intense Reference"/>
    <w:uiPriority w:val="32"/>
    <w:qFormat/>
    <w:rsid w:val="00403CFF"/>
    <w:rPr>
      <w:b/>
      <w:bCs/>
      <w:i/>
      <w:iCs/>
      <w:caps/>
      <w:color w:val="4F81BD" w:themeColor="accent1"/>
    </w:rPr>
  </w:style>
  <w:style w:type="character" w:styleId="BookTitle">
    <w:name w:val="Book Title"/>
    <w:uiPriority w:val="33"/>
    <w:qFormat/>
    <w:rsid w:val="00403CFF"/>
    <w:rPr>
      <w:b/>
      <w:bCs/>
      <w:i/>
      <w:iCs/>
      <w:spacing w:val="9"/>
    </w:rPr>
  </w:style>
  <w:style w:type="paragraph" w:styleId="TOCHeading">
    <w:name w:val="TOC Heading"/>
    <w:basedOn w:val="Heading1"/>
    <w:next w:val="Normal"/>
    <w:uiPriority w:val="39"/>
    <w:semiHidden/>
    <w:unhideWhenUsed/>
    <w:qFormat/>
    <w:rsid w:val="00403CFF"/>
    <w:pPr>
      <w:outlineLvl w:val="9"/>
    </w:pPr>
    <w:rPr>
      <w:lang w:bidi="en-US"/>
    </w:rPr>
  </w:style>
  <w:style w:type="paragraph" w:customStyle="1" w:styleId="reference">
    <w:name w:val="reference"/>
    <w:basedOn w:val="Normal"/>
    <w:rsid w:val="00131C85"/>
    <w:pPr>
      <w:spacing w:before="100" w:beforeAutospacing="1" w:after="100" w:afterAutospacing="1" w:line="240" w:lineRule="auto"/>
    </w:pPr>
    <w:rPr>
      <w:rFonts w:ascii="Times New Roman" w:eastAsia="Times New Roman" w:hAnsi="Times New Roman" w:cs="Times New Roman"/>
      <w:szCs w:val="24"/>
    </w:rPr>
  </w:style>
  <w:style w:type="paragraph" w:styleId="NormalWeb">
    <w:name w:val="Normal (Web)"/>
    <w:basedOn w:val="Normal"/>
    <w:uiPriority w:val="99"/>
    <w:semiHidden/>
    <w:unhideWhenUsed/>
    <w:rsid w:val="00131C85"/>
    <w:pPr>
      <w:spacing w:before="100" w:beforeAutospacing="1" w:after="100"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131C8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C85"/>
    <w:rPr>
      <w:rFonts w:ascii="Tahoma" w:hAnsi="Tahoma" w:cs="Tahoma"/>
      <w:sz w:val="16"/>
      <w:szCs w:val="16"/>
    </w:rPr>
  </w:style>
  <w:style w:type="paragraph" w:styleId="FootnoteText">
    <w:name w:val="footnote text"/>
    <w:basedOn w:val="Normal"/>
    <w:link w:val="FootnoteTextChar"/>
    <w:uiPriority w:val="99"/>
    <w:unhideWhenUsed/>
    <w:rsid w:val="00BB23E2"/>
    <w:pPr>
      <w:spacing w:before="0" w:after="0" w:line="240" w:lineRule="auto"/>
    </w:pPr>
    <w:rPr>
      <w:sz w:val="20"/>
    </w:rPr>
  </w:style>
  <w:style w:type="character" w:customStyle="1" w:styleId="FootnoteTextChar">
    <w:name w:val="Footnote Text Char"/>
    <w:basedOn w:val="DefaultParagraphFont"/>
    <w:link w:val="FootnoteText"/>
    <w:uiPriority w:val="99"/>
    <w:rsid w:val="00BB23E2"/>
    <w:rPr>
      <w:sz w:val="20"/>
      <w:szCs w:val="20"/>
    </w:rPr>
  </w:style>
  <w:style w:type="character" w:styleId="FootnoteReference">
    <w:name w:val="footnote reference"/>
    <w:basedOn w:val="DefaultParagraphFont"/>
    <w:uiPriority w:val="99"/>
    <w:unhideWhenUsed/>
    <w:rsid w:val="00BB23E2"/>
    <w:rPr>
      <w:vertAlign w:val="superscript"/>
    </w:rPr>
  </w:style>
  <w:style w:type="paragraph" w:styleId="TOC2">
    <w:name w:val="toc 2"/>
    <w:basedOn w:val="Normal"/>
    <w:next w:val="Normal"/>
    <w:autoRedefine/>
    <w:uiPriority w:val="39"/>
    <w:unhideWhenUsed/>
    <w:rsid w:val="00313741"/>
    <w:pPr>
      <w:spacing w:after="100"/>
      <w:ind w:left="240"/>
    </w:pPr>
  </w:style>
  <w:style w:type="paragraph" w:styleId="TOC3">
    <w:name w:val="toc 3"/>
    <w:basedOn w:val="Normal"/>
    <w:next w:val="Normal"/>
    <w:autoRedefine/>
    <w:uiPriority w:val="39"/>
    <w:unhideWhenUsed/>
    <w:rsid w:val="00313741"/>
    <w:pPr>
      <w:spacing w:after="100"/>
      <w:ind w:left="480"/>
    </w:pPr>
  </w:style>
  <w:style w:type="character" w:styleId="Hyperlink">
    <w:name w:val="Hyperlink"/>
    <w:basedOn w:val="DefaultParagraphFont"/>
    <w:uiPriority w:val="99"/>
    <w:unhideWhenUsed/>
    <w:rsid w:val="00313741"/>
    <w:rPr>
      <w:color w:val="0000FF" w:themeColor="hyperlink"/>
      <w:u w:val="single"/>
    </w:rPr>
  </w:style>
  <w:style w:type="character" w:styleId="FollowedHyperlink">
    <w:name w:val="FollowedHyperlink"/>
    <w:basedOn w:val="DefaultParagraphFont"/>
    <w:uiPriority w:val="99"/>
    <w:semiHidden/>
    <w:unhideWhenUsed/>
    <w:rsid w:val="006C597C"/>
    <w:rPr>
      <w:color w:val="800080" w:themeColor="followedHyperlink"/>
      <w:u w:val="single"/>
    </w:rPr>
  </w:style>
  <w:style w:type="character" w:customStyle="1" w:styleId="apple-converted-space">
    <w:name w:val="apple-converted-space"/>
    <w:basedOn w:val="DefaultParagraphFont"/>
    <w:rsid w:val="001B1439"/>
  </w:style>
  <w:style w:type="paragraph" w:styleId="Header">
    <w:name w:val="header"/>
    <w:basedOn w:val="Normal"/>
    <w:link w:val="HeaderChar"/>
    <w:uiPriority w:val="99"/>
    <w:unhideWhenUsed/>
    <w:rsid w:val="0014569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45698"/>
    <w:rPr>
      <w:sz w:val="24"/>
      <w:szCs w:val="20"/>
      <w:lang w:val="uz-Cyrl-UZ"/>
    </w:rPr>
  </w:style>
  <w:style w:type="paragraph" w:styleId="Footer">
    <w:name w:val="footer"/>
    <w:basedOn w:val="Normal"/>
    <w:link w:val="FooterChar"/>
    <w:uiPriority w:val="99"/>
    <w:unhideWhenUsed/>
    <w:rsid w:val="0014569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45698"/>
    <w:rPr>
      <w:sz w:val="24"/>
      <w:szCs w:val="20"/>
      <w:lang w:val="uz-Cyrl-UZ"/>
    </w:rPr>
  </w:style>
  <w:style w:type="character" w:styleId="CommentReference">
    <w:name w:val="annotation reference"/>
    <w:basedOn w:val="DefaultParagraphFont"/>
    <w:uiPriority w:val="99"/>
    <w:semiHidden/>
    <w:unhideWhenUsed/>
    <w:rsid w:val="00E43D43"/>
    <w:rPr>
      <w:sz w:val="18"/>
      <w:szCs w:val="18"/>
    </w:rPr>
  </w:style>
  <w:style w:type="paragraph" w:styleId="CommentText">
    <w:name w:val="annotation text"/>
    <w:basedOn w:val="Normal"/>
    <w:link w:val="CommentTextChar"/>
    <w:uiPriority w:val="99"/>
    <w:semiHidden/>
    <w:unhideWhenUsed/>
    <w:rsid w:val="00E43D43"/>
    <w:pPr>
      <w:spacing w:line="240" w:lineRule="auto"/>
    </w:pPr>
    <w:rPr>
      <w:szCs w:val="24"/>
    </w:rPr>
  </w:style>
  <w:style w:type="character" w:customStyle="1" w:styleId="CommentTextChar">
    <w:name w:val="Comment Text Char"/>
    <w:basedOn w:val="DefaultParagraphFont"/>
    <w:link w:val="CommentText"/>
    <w:uiPriority w:val="99"/>
    <w:semiHidden/>
    <w:rsid w:val="00E43D43"/>
    <w:rPr>
      <w:sz w:val="24"/>
      <w:szCs w:val="24"/>
      <w:lang w:val="uz-Cyrl-UZ"/>
    </w:rPr>
  </w:style>
  <w:style w:type="paragraph" w:styleId="CommentSubject">
    <w:name w:val="annotation subject"/>
    <w:basedOn w:val="CommentText"/>
    <w:next w:val="CommentText"/>
    <w:link w:val="CommentSubjectChar"/>
    <w:uiPriority w:val="99"/>
    <w:semiHidden/>
    <w:unhideWhenUsed/>
    <w:rsid w:val="00E43D43"/>
    <w:rPr>
      <w:b/>
      <w:bCs/>
      <w:sz w:val="20"/>
      <w:szCs w:val="20"/>
    </w:rPr>
  </w:style>
  <w:style w:type="character" w:customStyle="1" w:styleId="CommentSubjectChar">
    <w:name w:val="Comment Subject Char"/>
    <w:basedOn w:val="CommentTextChar"/>
    <w:link w:val="CommentSubject"/>
    <w:uiPriority w:val="99"/>
    <w:semiHidden/>
    <w:rsid w:val="00E43D43"/>
    <w:rPr>
      <w:b/>
      <w:bCs/>
      <w:sz w:val="20"/>
      <w:szCs w:val="20"/>
      <w:lang w:val="uz-Cyrl-UZ"/>
    </w:rPr>
  </w:style>
  <w:style w:type="character" w:styleId="PageNumber">
    <w:name w:val="page number"/>
    <w:basedOn w:val="DefaultParagraphFont"/>
    <w:uiPriority w:val="99"/>
    <w:semiHidden/>
    <w:unhideWhenUsed/>
    <w:rsid w:val="00CF583E"/>
  </w:style>
  <w:style w:type="paragraph" w:styleId="Revision">
    <w:name w:val="Revision"/>
    <w:hidden/>
    <w:uiPriority w:val="99"/>
    <w:semiHidden/>
    <w:rsid w:val="002C3DE0"/>
    <w:pPr>
      <w:spacing w:before="0" w:after="0" w:line="240" w:lineRule="auto"/>
    </w:pPr>
    <w:rPr>
      <w:sz w:val="24"/>
      <w:szCs w:val="20"/>
      <w:lang w:val="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14192">
      <w:bodyDiv w:val="1"/>
      <w:marLeft w:val="0"/>
      <w:marRight w:val="0"/>
      <w:marTop w:val="0"/>
      <w:marBottom w:val="0"/>
      <w:divBdr>
        <w:top w:val="none" w:sz="0" w:space="0" w:color="auto"/>
        <w:left w:val="none" w:sz="0" w:space="0" w:color="auto"/>
        <w:bottom w:val="none" w:sz="0" w:space="0" w:color="auto"/>
        <w:right w:val="none" w:sz="0" w:space="0" w:color="auto"/>
      </w:divBdr>
    </w:div>
    <w:div w:id="456876673">
      <w:bodyDiv w:val="1"/>
      <w:marLeft w:val="0"/>
      <w:marRight w:val="0"/>
      <w:marTop w:val="0"/>
      <w:marBottom w:val="0"/>
      <w:divBdr>
        <w:top w:val="none" w:sz="0" w:space="0" w:color="auto"/>
        <w:left w:val="none" w:sz="0" w:space="0" w:color="auto"/>
        <w:bottom w:val="none" w:sz="0" w:space="0" w:color="auto"/>
        <w:right w:val="none" w:sz="0" w:space="0" w:color="auto"/>
      </w:divBdr>
    </w:div>
    <w:div w:id="625241560">
      <w:bodyDiv w:val="1"/>
      <w:marLeft w:val="0"/>
      <w:marRight w:val="0"/>
      <w:marTop w:val="0"/>
      <w:marBottom w:val="0"/>
      <w:divBdr>
        <w:top w:val="none" w:sz="0" w:space="0" w:color="auto"/>
        <w:left w:val="none" w:sz="0" w:space="0" w:color="auto"/>
        <w:bottom w:val="none" w:sz="0" w:space="0" w:color="auto"/>
        <w:right w:val="none" w:sz="0" w:space="0" w:color="auto"/>
      </w:divBdr>
    </w:div>
    <w:div w:id="647168759">
      <w:bodyDiv w:val="1"/>
      <w:marLeft w:val="0"/>
      <w:marRight w:val="0"/>
      <w:marTop w:val="0"/>
      <w:marBottom w:val="0"/>
      <w:divBdr>
        <w:top w:val="none" w:sz="0" w:space="0" w:color="auto"/>
        <w:left w:val="none" w:sz="0" w:space="0" w:color="auto"/>
        <w:bottom w:val="none" w:sz="0" w:space="0" w:color="auto"/>
        <w:right w:val="none" w:sz="0" w:space="0" w:color="auto"/>
      </w:divBdr>
      <w:divsChild>
        <w:div w:id="805896933">
          <w:marLeft w:val="0"/>
          <w:marRight w:val="0"/>
          <w:marTop w:val="0"/>
          <w:marBottom w:val="0"/>
          <w:divBdr>
            <w:top w:val="none" w:sz="0" w:space="0" w:color="auto"/>
            <w:left w:val="none" w:sz="0" w:space="0" w:color="auto"/>
            <w:bottom w:val="none" w:sz="0" w:space="0" w:color="auto"/>
            <w:right w:val="none" w:sz="0" w:space="0" w:color="auto"/>
          </w:divBdr>
          <w:divsChild>
            <w:div w:id="18698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65381">
      <w:bodyDiv w:val="1"/>
      <w:marLeft w:val="0"/>
      <w:marRight w:val="0"/>
      <w:marTop w:val="0"/>
      <w:marBottom w:val="0"/>
      <w:divBdr>
        <w:top w:val="none" w:sz="0" w:space="0" w:color="auto"/>
        <w:left w:val="none" w:sz="0" w:space="0" w:color="auto"/>
        <w:bottom w:val="none" w:sz="0" w:space="0" w:color="auto"/>
        <w:right w:val="none" w:sz="0" w:space="0" w:color="auto"/>
      </w:divBdr>
      <w:divsChild>
        <w:div w:id="638732818">
          <w:marLeft w:val="0"/>
          <w:marRight w:val="0"/>
          <w:marTop w:val="0"/>
          <w:marBottom w:val="0"/>
          <w:divBdr>
            <w:top w:val="none" w:sz="0" w:space="0" w:color="auto"/>
            <w:left w:val="none" w:sz="0" w:space="0" w:color="auto"/>
            <w:bottom w:val="none" w:sz="0" w:space="0" w:color="auto"/>
            <w:right w:val="none" w:sz="0" w:space="0" w:color="auto"/>
          </w:divBdr>
          <w:divsChild>
            <w:div w:id="1427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0905">
      <w:bodyDiv w:val="1"/>
      <w:marLeft w:val="0"/>
      <w:marRight w:val="0"/>
      <w:marTop w:val="0"/>
      <w:marBottom w:val="0"/>
      <w:divBdr>
        <w:top w:val="none" w:sz="0" w:space="0" w:color="auto"/>
        <w:left w:val="none" w:sz="0" w:space="0" w:color="auto"/>
        <w:bottom w:val="none" w:sz="0" w:space="0" w:color="auto"/>
        <w:right w:val="none" w:sz="0" w:space="0" w:color="auto"/>
      </w:divBdr>
      <w:divsChild>
        <w:div w:id="1302923403">
          <w:marLeft w:val="0"/>
          <w:marRight w:val="0"/>
          <w:marTop w:val="0"/>
          <w:marBottom w:val="0"/>
          <w:divBdr>
            <w:top w:val="none" w:sz="0" w:space="0" w:color="auto"/>
            <w:left w:val="none" w:sz="0" w:space="0" w:color="auto"/>
            <w:bottom w:val="none" w:sz="0" w:space="0" w:color="auto"/>
            <w:right w:val="none" w:sz="0" w:space="0" w:color="auto"/>
          </w:divBdr>
          <w:divsChild>
            <w:div w:id="41354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75252">
      <w:bodyDiv w:val="1"/>
      <w:marLeft w:val="0"/>
      <w:marRight w:val="0"/>
      <w:marTop w:val="0"/>
      <w:marBottom w:val="0"/>
      <w:divBdr>
        <w:top w:val="none" w:sz="0" w:space="0" w:color="auto"/>
        <w:left w:val="none" w:sz="0" w:space="0" w:color="auto"/>
        <w:bottom w:val="none" w:sz="0" w:space="0" w:color="auto"/>
        <w:right w:val="none" w:sz="0" w:space="0" w:color="auto"/>
      </w:divBdr>
      <w:divsChild>
        <w:div w:id="212734639">
          <w:marLeft w:val="547"/>
          <w:marRight w:val="0"/>
          <w:marTop w:val="0"/>
          <w:marBottom w:val="0"/>
          <w:divBdr>
            <w:top w:val="none" w:sz="0" w:space="0" w:color="auto"/>
            <w:left w:val="none" w:sz="0" w:space="0" w:color="auto"/>
            <w:bottom w:val="none" w:sz="0" w:space="0" w:color="auto"/>
            <w:right w:val="none" w:sz="0" w:space="0" w:color="auto"/>
          </w:divBdr>
        </w:div>
        <w:div w:id="243884772">
          <w:marLeft w:val="547"/>
          <w:marRight w:val="0"/>
          <w:marTop w:val="0"/>
          <w:marBottom w:val="0"/>
          <w:divBdr>
            <w:top w:val="none" w:sz="0" w:space="0" w:color="auto"/>
            <w:left w:val="none" w:sz="0" w:space="0" w:color="auto"/>
            <w:bottom w:val="none" w:sz="0" w:space="0" w:color="auto"/>
            <w:right w:val="none" w:sz="0" w:space="0" w:color="auto"/>
          </w:divBdr>
        </w:div>
      </w:divsChild>
    </w:div>
    <w:div w:id="1820146282">
      <w:bodyDiv w:val="1"/>
      <w:marLeft w:val="0"/>
      <w:marRight w:val="0"/>
      <w:marTop w:val="0"/>
      <w:marBottom w:val="0"/>
      <w:divBdr>
        <w:top w:val="none" w:sz="0" w:space="0" w:color="auto"/>
        <w:left w:val="none" w:sz="0" w:space="0" w:color="auto"/>
        <w:bottom w:val="none" w:sz="0" w:space="0" w:color="auto"/>
        <w:right w:val="none" w:sz="0" w:space="0" w:color="auto"/>
      </w:divBdr>
    </w:div>
    <w:div w:id="214330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hyperlink" Target="https://wcd.coe.int/com.instranet.InstraServlet?command=com.instranet.CmdBlobGet&amp;InstranetImage=2955388&amp;SecMode=1&amp;DocId=1978478&amp;Usage=2" TargetMode="External"/><Relationship Id="rId21" Type="http://schemas.openxmlformats.org/officeDocument/2006/relationships/hyperlink" Target="http://www.un.org/esa/socdev/enable/dissre00.htm" TargetMode="External"/><Relationship Id="rId22" Type="http://schemas.openxmlformats.org/officeDocument/2006/relationships/fontTable" Target="fontTable.xml"/><Relationship Id="rId23" Type="http://schemas.openxmlformats.org/officeDocument/2006/relationships/theme" Target="theme/theme1.xml"/><Relationship Id="rId24" Type="http://schemas.microsoft.com/office/2011/relationships/commentsExtended" Target="commentsExtended.xml"/><Relationship Id="rId25" Type="http://schemas.microsoft.com/office/2011/relationships/people" Target="people.xml"/><Relationship Id="rId10" Type="http://schemas.openxmlformats.org/officeDocument/2006/relationships/image" Target="media/image2.jpeg"/><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1.xml"/><Relationship Id="rId14" Type="http://schemas.openxmlformats.org/officeDocument/2006/relationships/footer" Target="footer3.xml"/><Relationship Id="rId15" Type="http://schemas.openxmlformats.org/officeDocument/2006/relationships/hyperlink" Target="http://www.echr.coe.int/pages/home.aspx?p=basictexts" TargetMode="External"/><Relationship Id="rId16" Type="http://schemas.openxmlformats.org/officeDocument/2006/relationships/hyperlink" Target="http://tbinternet.ohchr.org/_layouts/treatybodyexternal/Download.aspx?symbolno=CRPD%2fC%2fMNE%2f1&amp;Lang=en" TargetMode="External"/><Relationship Id="rId17" Type="http://schemas.openxmlformats.org/officeDocument/2006/relationships/hyperlink" Target="http://www.hraction.org/wp-content/uploads/Izvjestaj_Dobrota_CG.pdf" TargetMode="External"/><Relationship Id="rId18" Type="http://schemas.openxmlformats.org/officeDocument/2006/relationships/hyperlink" Target="http://www.un.org/documents/ga/res/46/a46r119.htm" TargetMode="External"/><Relationship Id="rId19" Type="http://schemas.openxmlformats.org/officeDocument/2006/relationships/hyperlink" Target="https://rm.coe.int/CoERMPublicCommonSearchServices/DisplayDCTMContent?documentId=09000016806dabba"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http://tbn0.google.com/images?q=tbn:hdoFGoqqev9zlM:http://www.defmin.fi/files/703/textsize/EU_flag.png"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www.mdri-s.org/wp-content/uploads/2014/12/Zbirka-radova-SRB.pdf" TargetMode="External"/><Relationship Id="rId12" Type="http://schemas.openxmlformats.org/officeDocument/2006/relationships/hyperlink" Target="http://www.zdravlje.gov.rs/downloads/2013/Jun/Jun2013ZakonZastitiLicaSaMentalnimSmetnjama.pdf" TargetMode="External"/><Relationship Id="rId13" Type="http://schemas.openxmlformats.org/officeDocument/2006/relationships/hyperlink" Target="http://www.minrzs.gov.rs/lat/aktuelno/item/4050-otvoreni-zagrljaj-podrska-osobama-sa-mentalnim-problemima" TargetMode="External"/><Relationship Id="rId14" Type="http://schemas.openxmlformats.org/officeDocument/2006/relationships/hyperlink" Target="http://www.spbnoviknezevac.rs/centar-za-mentalno-zdravlje/" TargetMode="External"/><Relationship Id="rId15" Type="http://schemas.openxmlformats.org/officeDocument/2006/relationships/hyperlink" Target="http://www.cmzvrsac.org.rs/index.php/component/content/?view=featured" TargetMode="External"/><Relationship Id="rId16" Type="http://schemas.openxmlformats.org/officeDocument/2006/relationships/hyperlink" Target="http://www.disabilityinfo.me/component/k2/item/1445-osvrt-na-novu-strategiju-za-integraciju-osoba-sa-invaliditetom" TargetMode="External"/><Relationship Id="rId17" Type="http://schemas.openxmlformats.org/officeDocument/2006/relationships/hyperlink" Target="http://www.mzdravlja.gov.me/ResourceManager/FileDownload.aspx?rid=217288&amp;rType=2&amp;file=Strategija%20unapre%C4%91enja%20mentalnog%20zdravlja%20u%20Republici%20Crnoj%20Gori.pdf" TargetMode="External"/><Relationship Id="rId18" Type="http://schemas.openxmlformats.org/officeDocument/2006/relationships/hyperlink" Target="http://psihijatrijakotor.me/mn/index.php?option=com_content&amp;view=article&amp;id=4&amp;Itemid=117" TargetMode="External"/><Relationship Id="rId1" Type="http://schemas.openxmlformats.org/officeDocument/2006/relationships/hyperlink" Target="http://www.mrs.gov.me/ResourceManager/FileDownload.aspx?rId=93285&amp;rType=2" TargetMode="External"/><Relationship Id="rId2" Type="http://schemas.openxmlformats.org/officeDocument/2006/relationships/hyperlink" Target="http://www.euro.who.int/en/health-topics/noncommunicable-diseases/mental-health/priority-areas/services-and-deinstitutionalization" TargetMode="External"/><Relationship Id="rId3" Type="http://schemas.openxmlformats.org/officeDocument/2006/relationships/hyperlink" Target="http://www.ajupid.eu/images/documents/promising_pratices/BAG_AJUPID_UK_2015_BV.pdf" TargetMode="External"/><Relationship Id="rId4" Type="http://schemas.openxmlformats.org/officeDocument/2006/relationships/hyperlink" Target="http://ec.europa.eu/regional_policy/en/policy/themes/social-inclusion/desinstit/" TargetMode="External"/><Relationship Id="rId5" Type="http://schemas.openxmlformats.org/officeDocument/2006/relationships/hyperlink" Target="http://ec.europa.eu/regional_policy/index.cfm/en/information/legislation/guidance/" TargetMode="External"/><Relationship Id="rId6" Type="http://schemas.openxmlformats.org/officeDocument/2006/relationships/hyperlink" Target="https://www.gov.uk/government/uploads/system/uploads/attachment_data/file/198051/National_Service_Framework_for_Mental_Health.pdf" TargetMode="External"/><Relationship Id="rId7" Type="http://schemas.openxmlformats.org/officeDocument/2006/relationships/hyperlink" Target="http://www.mindfreedom.org/kb/mental-health-alternatives/finland-open-dialogue/open-dialogue-finland-outcomes.pdf/at_download/file" TargetMode="External"/><Relationship Id="rId8" Type="http://schemas.openxmlformats.org/officeDocument/2006/relationships/hyperlink" Target="https://www.mlsp.government.bg/ckfinder/userfiles/files/politiki/socialni%20uslugi/deinstitucionalizaciq%20na%20grijata%20za%20vuzrastni%20hora%20i%20hora%20s%20uvrejdaniq/EN_Long_Term_Care_Strategy_final.doc" TargetMode="External"/><Relationship Id="rId9" Type="http://schemas.openxmlformats.org/officeDocument/2006/relationships/hyperlink" Target="http://ec.europa.eu/social/BlobServlet?docId=6140&amp;langId=en" TargetMode="External"/><Relationship Id="rId10" Type="http://schemas.openxmlformats.org/officeDocument/2006/relationships/hyperlink" Target="http://www.keystonemoldova.md/en/projects/community-for-all.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g"/><Relationship Id="rId3"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8F7A84-FEEE-8144-83EC-D7AF15604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13088</Words>
  <Characters>74607</Characters>
  <Application>Microsoft Macintosh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MODELI DEINSTITUCIONALIZACIJE I ZAŠTITE MENTALNOG ZDRAVLJA  U ZAJEDNICI</vt:lpstr>
    </vt:vector>
  </TitlesOfParts>
  <Company/>
  <LinksUpToDate>false</LinksUpToDate>
  <CharactersWithSpaces>87520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 DEINSTITUCIONALIZACIJE I ZAŠTITE MENTALNOG ZDRAVLJA  U ZAJEDNICI</dc:title>
  <dc:creator>Dragana Ćirić Milovanović</dc:creator>
  <cp:lastModifiedBy>Tea GP</cp:lastModifiedBy>
  <cp:revision>2</cp:revision>
  <dcterms:created xsi:type="dcterms:W3CDTF">2017-03-20T14:30:00Z</dcterms:created>
  <dcterms:modified xsi:type="dcterms:W3CDTF">2017-03-20T14:30:00Z</dcterms:modified>
</cp:coreProperties>
</file>