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AC4075" w:rsidP="00751C27">
      <w:pPr>
        <w:rPr>
          <w:rFonts w:ascii="Cambria" w:hAnsi="Cambria"/>
          <w:sz w:val="20"/>
        </w:rPr>
      </w:pPr>
      <w:r w:rsidRPr="00AC4075">
        <w:rPr>
          <w:rFonts w:ascii="Cambria" w:eastAsia="Calibri" w:hAnsi="Cambria"/>
          <w:sz w:val="26"/>
          <w:szCs w:val="26"/>
          <w:lang w:eastAsia="en-US"/>
        </w:rPr>
        <w:pict>
          <v:group id="_x0000_s1057" style="position:absolute;margin-left:-10.95pt;margin-top:-73.85pt;width:543.45pt;height:797.6pt;z-index:251657728" coordorigin="1221,-37" coordsize="10869,1595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" o:spid="_x0000_s1054" type="#_x0000_t75" alt="Logo novi" style="position:absolute;left:1221;top:564;width:5544;height:2189;visibility:visible">
              <v:imagedata r:id="rId8" o:title="Logo novi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5" type="#_x0000_t202" style="position:absolute;left:11019;top:-37;width:1071;height:15952" fillcolor="#a5a5a5" stroked="f">
              <v:textbox style="layout-flow:vertical;mso-next-textbox:#_x0000_s1055">
                <w:txbxContent>
                  <w:p w:rsidR="003A321B" w:rsidRDefault="003A321B" w:rsidP="00751C27">
                    <w:pPr>
                      <w:jc w:val="center"/>
                      <w:rPr>
                        <w:lang w:val="en-US"/>
                      </w:rPr>
                    </w:pPr>
                  </w:p>
                  <w:p w:rsidR="003A321B" w:rsidRPr="001F3843" w:rsidRDefault="003A321B" w:rsidP="00751C27">
                    <w:pPr>
                      <w:jc w:val="center"/>
                      <w:rPr>
                        <w:rFonts w:ascii="Cambria" w:hAnsi="Cambria"/>
                        <w:lang w:val="en-US"/>
                      </w:rPr>
                    </w:pPr>
                    <w:r w:rsidRPr="001F3843">
                      <w:rPr>
                        <w:rFonts w:ascii="Cambria" w:hAnsi="Cambria"/>
                        <w:lang w:val="en-US"/>
                      </w:rPr>
                      <w:t xml:space="preserve">       Moskovska bb, 81 000 Podgorica, Crna Gora     T/F: +382 20 510 040; + 382</w:t>
                    </w:r>
                    <w:r>
                      <w:rPr>
                        <w:rFonts w:ascii="Cambria" w:hAnsi="Cambria"/>
                        <w:lang w:val="en-US"/>
                      </w:rPr>
                      <w:t xml:space="preserve"> 20</w:t>
                    </w:r>
                    <w:r w:rsidRPr="001F3843">
                      <w:rPr>
                        <w:rFonts w:ascii="Cambria" w:hAnsi="Cambria"/>
                        <w:lang w:val="en-US"/>
                      </w:rPr>
                      <w:t xml:space="preserve"> 510 041     E-mail: hra@t-com.me        www.hraction.org                    </w:t>
                    </w:r>
                  </w:p>
                </w:txbxContent>
              </v:textbox>
            </v:shape>
          </v:group>
        </w:pict>
      </w: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  <w:sz w:val="20"/>
        </w:rPr>
      </w:pPr>
    </w:p>
    <w:p w:rsidR="00751C27" w:rsidRPr="002A0513" w:rsidRDefault="00751C27" w:rsidP="00751C27">
      <w:pPr>
        <w:rPr>
          <w:rFonts w:ascii="Cambria" w:hAnsi="Cambria"/>
        </w:rPr>
      </w:pPr>
    </w:p>
    <w:p w:rsidR="00751C27" w:rsidRPr="002A0513" w:rsidRDefault="00751C27" w:rsidP="00751C27">
      <w:pPr>
        <w:rPr>
          <w:rFonts w:ascii="Cambria" w:hAnsi="Cambria" w:cs="Tahoma"/>
        </w:rPr>
      </w:pPr>
    </w:p>
    <w:p w:rsidR="00751C27" w:rsidRPr="002A0513" w:rsidRDefault="00751C27" w:rsidP="00751C27">
      <w:pPr>
        <w:rPr>
          <w:rFonts w:ascii="Cambria" w:hAnsi="Cambria" w:cs="Tahoma"/>
        </w:rPr>
      </w:pPr>
    </w:p>
    <w:p w:rsidR="00751C27" w:rsidRPr="002A0513" w:rsidRDefault="00751C27" w:rsidP="00751C27">
      <w:pPr>
        <w:rPr>
          <w:rFonts w:ascii="Cambria" w:hAnsi="Cambria" w:cs="Tahoma"/>
        </w:rPr>
      </w:pPr>
    </w:p>
    <w:p w:rsidR="00751C27" w:rsidRPr="00EA7DBA" w:rsidRDefault="00751C27" w:rsidP="00751C27">
      <w:pPr>
        <w:jc w:val="center"/>
        <w:rPr>
          <w:rFonts w:ascii="Cambria" w:hAnsi="Cambria" w:cs="Tahoma"/>
          <w:b/>
          <w:sz w:val="28"/>
          <w:lang w:val="sr-Latn-CS"/>
        </w:rPr>
      </w:pPr>
      <w:r w:rsidRPr="00EA7DBA">
        <w:rPr>
          <w:rFonts w:ascii="Cambria" w:hAnsi="Cambria" w:cs="Tahoma"/>
          <w:b/>
          <w:sz w:val="28"/>
          <w:lang w:val="sr-Latn-CS"/>
        </w:rPr>
        <w:t>KOMENTARI NA NACRT AKCIONOG PLANA</w:t>
      </w:r>
      <w:r w:rsidRPr="00EA7DBA">
        <w:rPr>
          <w:rStyle w:val="FootnoteReference"/>
          <w:rFonts w:ascii="Cambria" w:hAnsi="Cambria" w:cs="Tahoma"/>
          <w:b/>
          <w:sz w:val="28"/>
          <w:lang w:val="sr-Latn-CS"/>
        </w:rPr>
        <w:footnoteReference w:id="2"/>
      </w:r>
      <w:r w:rsidRPr="00EA7DBA">
        <w:rPr>
          <w:rFonts w:ascii="Cambria" w:hAnsi="Cambria" w:cs="Tahoma"/>
          <w:b/>
          <w:sz w:val="28"/>
          <w:lang w:val="sr-Latn-CS"/>
        </w:rPr>
        <w:t xml:space="preserve"> ZA POGLAVLJE 23:</w:t>
      </w:r>
    </w:p>
    <w:p w:rsidR="00751C27" w:rsidRPr="002A0513" w:rsidRDefault="00751C27" w:rsidP="00751C27">
      <w:pPr>
        <w:jc w:val="center"/>
        <w:rPr>
          <w:rFonts w:ascii="Cambria" w:hAnsi="Cambria" w:cs="Tahoma"/>
          <w:b/>
          <w:u w:val="single"/>
          <w:lang w:val="sr-Latn-CS"/>
        </w:rPr>
      </w:pPr>
    </w:p>
    <w:p w:rsidR="00751C27" w:rsidRPr="002A0513" w:rsidRDefault="00751C27" w:rsidP="00751C27">
      <w:pPr>
        <w:jc w:val="center"/>
        <w:rPr>
          <w:rFonts w:ascii="Cambria" w:hAnsi="Cambria" w:cs="Tahoma"/>
          <w:b/>
          <w:u w:val="single"/>
          <w:lang w:val="sr-Latn-CS"/>
        </w:rPr>
      </w:pPr>
      <w:r w:rsidRPr="002A0513">
        <w:rPr>
          <w:rFonts w:ascii="Cambria" w:hAnsi="Cambria" w:cs="Tahoma"/>
          <w:b/>
          <w:u w:val="single"/>
          <w:lang w:val="sr-Latn-CS"/>
        </w:rPr>
        <w:t>PRAVOSUĐE I TEMELJNA PRAVA –</w:t>
      </w:r>
      <w:r w:rsidRPr="00485837">
        <w:rPr>
          <w:rFonts w:ascii="Cambria" w:hAnsi="Cambria" w:cs="Tahoma"/>
          <w:b/>
          <w:u w:val="single"/>
          <w:lang w:val="sr-Latn-CS"/>
        </w:rPr>
        <w:t>poglavlje 3</w:t>
      </w:r>
    </w:p>
    <w:p w:rsidR="00751C27" w:rsidRPr="002A0513" w:rsidRDefault="00751C27" w:rsidP="00751C27">
      <w:pPr>
        <w:jc w:val="center"/>
        <w:rPr>
          <w:rFonts w:ascii="Cambria" w:hAnsi="Cambria" w:cs="Tahoma"/>
          <w:b/>
          <w:u w:val="single"/>
          <w:lang w:val="sr-Latn-CS"/>
        </w:rPr>
      </w:pPr>
    </w:p>
    <w:p w:rsidR="00751C27" w:rsidRPr="002A0513" w:rsidRDefault="00751C27" w:rsidP="00751C27">
      <w:pPr>
        <w:jc w:val="center"/>
        <w:rPr>
          <w:rFonts w:ascii="Cambria" w:hAnsi="Cambria" w:cs="Tahoma"/>
          <w:b/>
          <w:u w:val="single"/>
          <w:lang w:val="sr-Latn-CS"/>
        </w:rPr>
      </w:pPr>
    </w:p>
    <w:p w:rsidR="00751C27" w:rsidRPr="002A0513" w:rsidRDefault="00751C27" w:rsidP="00751C27">
      <w:pPr>
        <w:jc w:val="both"/>
        <w:rPr>
          <w:rFonts w:ascii="Cambria" w:hAnsi="Cambria" w:cs="Tahoma"/>
          <w:lang w:val="sr-Latn-CS"/>
        </w:rPr>
      </w:pPr>
      <w:r w:rsidRPr="002A0513">
        <w:rPr>
          <w:rFonts w:ascii="Cambria" w:hAnsi="Cambria" w:cs="Tahoma"/>
          <w:lang w:val="sr-Latn-CS"/>
        </w:rPr>
        <w:t>U odnosu na poglavlje 3 –TEMELJNA PRAVA, ističemo kao neophodno sljedeće:</w:t>
      </w:r>
    </w:p>
    <w:p w:rsidR="00751C27" w:rsidRPr="002A0513" w:rsidRDefault="00751C27" w:rsidP="00751C27">
      <w:pPr>
        <w:jc w:val="both"/>
        <w:rPr>
          <w:rFonts w:ascii="Cambria" w:hAnsi="Cambria" w:cs="Tahoma"/>
          <w:lang w:val="sr-Latn-CS"/>
        </w:rPr>
      </w:pPr>
    </w:p>
    <w:p w:rsidR="000665B3" w:rsidRDefault="00EA7DBA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Mjeru 3.1.4</w:t>
      </w:r>
      <w:r w:rsidRPr="000665B3">
        <w:rPr>
          <w:rFonts w:ascii="Cambria" w:hAnsi="Cambria" w:cs="Tahoma"/>
          <w:lang w:val="sr-Latn-CS"/>
        </w:rPr>
        <w:t xml:space="preserve"> realizovati tako da predloženu analizu, u saradnji sa Zaštitnikom, uradi stručnjak koji je upoznat sa radom različitih ustanova O</w:t>
      </w:r>
      <w:r>
        <w:rPr>
          <w:rFonts w:ascii="Cambria" w:hAnsi="Cambria" w:cs="Tahoma"/>
          <w:lang w:val="sr-Latn-CS"/>
        </w:rPr>
        <w:t xml:space="preserve">mbudsmana u Evropi,da </w:t>
      </w:r>
      <w:r w:rsidR="000665B3">
        <w:rPr>
          <w:rFonts w:ascii="Cambria" w:hAnsi="Cambria" w:cs="Tahoma"/>
          <w:lang w:val="sr-Latn-CS"/>
        </w:rPr>
        <w:t>bi</w:t>
      </w:r>
      <w:r>
        <w:rPr>
          <w:rFonts w:ascii="Cambria" w:hAnsi="Cambria" w:cs="Tahoma"/>
          <w:lang w:val="sr-Latn-CS"/>
        </w:rPr>
        <w:t xml:space="preserve"> se obezbijedio status</w:t>
      </w:r>
      <w:r w:rsidR="000665B3">
        <w:rPr>
          <w:rFonts w:ascii="Cambria" w:hAnsi="Cambria" w:cs="Tahoma"/>
          <w:lang w:val="sr-Latn-CS"/>
        </w:rPr>
        <w:t xml:space="preserve"> Zaštitnik</w:t>
      </w:r>
      <w:r>
        <w:rPr>
          <w:rFonts w:ascii="Cambria" w:hAnsi="Cambria" w:cs="Tahoma"/>
          <w:lang w:val="sr-Latn-CS"/>
        </w:rPr>
        <w:t>akao</w:t>
      </w:r>
      <w:r w:rsidR="000665B3" w:rsidRPr="000665B3">
        <w:rPr>
          <w:rFonts w:ascii="Cambria" w:hAnsi="Cambria" w:cs="Tahoma"/>
          <w:lang w:val="sr-Latn-CS"/>
        </w:rPr>
        <w:t xml:space="preserve"> akredi</w:t>
      </w:r>
      <w:r w:rsidR="000665B3">
        <w:rPr>
          <w:rFonts w:ascii="Cambria" w:hAnsi="Cambria" w:cs="Tahoma"/>
          <w:lang w:val="sr-Latn-CS"/>
        </w:rPr>
        <w:t xml:space="preserve">tovanog tijela kod NHRI/ICC, što se </w:t>
      </w:r>
      <w:r>
        <w:rPr>
          <w:rFonts w:ascii="Cambria" w:hAnsi="Cambria" w:cs="Tahoma"/>
          <w:lang w:val="sr-Latn-CS"/>
        </w:rPr>
        <w:t xml:space="preserve">i </w:t>
      </w:r>
      <w:r w:rsidR="000665B3">
        <w:rPr>
          <w:rFonts w:ascii="Cambria" w:hAnsi="Cambria" w:cs="Tahoma"/>
          <w:lang w:val="sr-Latn-CS"/>
        </w:rPr>
        <w:t>navodi kao cilj</w:t>
      </w:r>
      <w:r w:rsidR="000665B3" w:rsidRPr="000665B3">
        <w:rPr>
          <w:rFonts w:ascii="Cambria" w:hAnsi="Cambria" w:cs="Tahoma"/>
          <w:lang w:val="sr-Latn-CS"/>
        </w:rPr>
        <w:t xml:space="preserve"> u ovom planu</w:t>
      </w:r>
      <w:r w:rsidR="00751C27" w:rsidRPr="000665B3">
        <w:rPr>
          <w:rFonts w:ascii="Cambria" w:hAnsi="Cambria" w:cs="Tahoma"/>
          <w:lang w:val="sr-Latn-CS"/>
        </w:rPr>
        <w:t xml:space="preserve">.Takva analiza procjene uspješnosti dosadašnjeg rada Ombudsmana, uključujući i zakonskog okvira, trebalo bi da prethodi izmjenama zakona i pratećih podzakonskih </w:t>
      </w:r>
      <w:commentRangeStart w:id="0"/>
      <w:r w:rsidR="00751C27" w:rsidRPr="000665B3">
        <w:rPr>
          <w:rFonts w:ascii="Cambria" w:hAnsi="Cambria" w:cs="Tahoma"/>
          <w:lang w:val="sr-Latn-CS"/>
        </w:rPr>
        <w:t>akata</w:t>
      </w:r>
      <w:commentRangeEnd w:id="0"/>
      <w:r w:rsidR="007515A0">
        <w:rPr>
          <w:rStyle w:val="CommentReference"/>
          <w:rFonts w:ascii="Calibri" w:hAnsi="Calibri"/>
          <w:lang w:val="en-US" w:eastAsia="en-US"/>
        </w:rPr>
        <w:commentReference w:id="0"/>
      </w:r>
      <w:r w:rsidR="00751C27" w:rsidRPr="000665B3">
        <w:rPr>
          <w:rFonts w:ascii="Cambria" w:hAnsi="Cambria" w:cs="Tahoma"/>
          <w:lang w:val="sr-Latn-CS"/>
        </w:rPr>
        <w:t>.</w:t>
      </w:r>
    </w:p>
    <w:p w:rsidR="000665B3" w:rsidRDefault="000665B3" w:rsidP="000665B3">
      <w:pPr>
        <w:jc w:val="both"/>
        <w:rPr>
          <w:rFonts w:ascii="Cambria" w:hAnsi="Cambria" w:cs="Tahoma"/>
          <w:lang w:val="sr-Latn-CS"/>
        </w:rPr>
      </w:pPr>
    </w:p>
    <w:p w:rsidR="00751C27" w:rsidRPr="000665B3" w:rsidRDefault="000665B3" w:rsidP="000665B3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M</w:t>
      </w:r>
      <w:r w:rsidR="00751C27" w:rsidRPr="000665B3">
        <w:rPr>
          <w:rFonts w:ascii="Cambria" w:hAnsi="Cambria" w:cs="Tahoma"/>
          <w:lang w:val="sr-Latn-CS"/>
        </w:rPr>
        <w:t xml:space="preserve">jeru 3.1.11, koja se odnosi na izradu okvirnog </w:t>
      </w:r>
      <w:r w:rsidR="00751C27" w:rsidRPr="000665B3">
        <w:rPr>
          <w:rFonts w:ascii="Cambria" w:hAnsi="Cambria" w:cs="Calibri"/>
        </w:rPr>
        <w:t xml:space="preserve">četvorogodišnjeg Plana obilaska organa, organizacija i ustanova u kojima se nalaze lica lišena slobode i lica kojima je ograničeno kretanje, </w:t>
      </w:r>
      <w:r>
        <w:rPr>
          <w:rFonts w:ascii="Cambria" w:hAnsi="Cambria" w:cs="Calibri"/>
        </w:rPr>
        <w:t xml:space="preserve">upotpuniti </w:t>
      </w:r>
      <w:r w:rsidR="00EA7DBA">
        <w:rPr>
          <w:rFonts w:ascii="Cambria" w:hAnsi="Cambria" w:cs="Calibri"/>
        </w:rPr>
        <w:t>tako</w:t>
      </w:r>
      <w:r w:rsidR="002F0886">
        <w:rPr>
          <w:rFonts w:ascii="Cambria" w:hAnsi="Cambria" w:cs="Calibri"/>
        </w:rPr>
        <w:t xml:space="preserve">što će se </w:t>
      </w:r>
      <w:r w:rsidR="00EA7DBA">
        <w:rPr>
          <w:rFonts w:ascii="Cambria" w:hAnsi="Cambria" w:cs="Calibri"/>
        </w:rPr>
        <w:t>obavezno predvidjeti</w:t>
      </w:r>
      <w:r w:rsidR="002F0886">
        <w:rPr>
          <w:rFonts w:ascii="Cambria" w:hAnsi="Cambria" w:cs="Calibri"/>
        </w:rPr>
        <w:t xml:space="preserve"> nenajavljen</w:t>
      </w:r>
      <w:r w:rsidR="00EA7DBA">
        <w:rPr>
          <w:rFonts w:ascii="Cambria" w:hAnsi="Cambria" w:cs="Calibri"/>
        </w:rPr>
        <w:t>e</w:t>
      </w:r>
      <w:r w:rsidR="002F0886">
        <w:rPr>
          <w:rFonts w:ascii="Cambria" w:hAnsi="Cambria" w:cs="Calibri"/>
        </w:rPr>
        <w:t xml:space="preserve"> posjet</w:t>
      </w:r>
      <w:r w:rsidR="00EA7DBA">
        <w:rPr>
          <w:rFonts w:ascii="Cambria" w:hAnsi="Cambria" w:cs="Calibri"/>
        </w:rPr>
        <w:t>e.P</w:t>
      </w:r>
      <w:r w:rsidR="00751C27" w:rsidRPr="000665B3">
        <w:rPr>
          <w:rFonts w:ascii="Cambria" w:hAnsi="Cambria" w:cs="Calibri"/>
        </w:rPr>
        <w:t>redlaže</w:t>
      </w:r>
      <w:r w:rsidR="00EA7DBA">
        <w:rPr>
          <w:rFonts w:ascii="Cambria" w:hAnsi="Cambria" w:cs="Calibri"/>
        </w:rPr>
        <w:t>mo</w:t>
      </w:r>
      <w:r w:rsidR="00751C27" w:rsidRPr="000665B3">
        <w:rPr>
          <w:rFonts w:ascii="Cambria" w:hAnsi="Cambria" w:cs="Calibri"/>
        </w:rPr>
        <w:t xml:space="preserve"> da se u</w:t>
      </w:r>
      <w:r w:rsidR="00751C27" w:rsidRPr="000665B3">
        <w:rPr>
          <w:rFonts w:ascii="Cambria" w:hAnsi="Cambria" w:cs="Tahoma"/>
          <w:lang w:val="sr-Latn-CS"/>
        </w:rPr>
        <w:t xml:space="preserve"> svakom dokumentu jasno stavi do znanja da će ovakve nenajavljene posjete, na koje Ombudsman ima pravo, biti </w:t>
      </w:r>
      <w:r w:rsidR="00EA7DBA">
        <w:rPr>
          <w:rFonts w:ascii="Cambria" w:hAnsi="Cambria" w:cs="Tahoma"/>
          <w:lang w:val="sr-Latn-CS"/>
        </w:rPr>
        <w:t xml:space="preserve">redovna </w:t>
      </w:r>
      <w:commentRangeStart w:id="1"/>
      <w:r w:rsidR="00751C27" w:rsidRPr="000665B3">
        <w:rPr>
          <w:rFonts w:ascii="Cambria" w:hAnsi="Cambria" w:cs="Tahoma"/>
          <w:lang w:val="sr-Latn-CS"/>
        </w:rPr>
        <w:t>praksa</w:t>
      </w:r>
      <w:commentRangeEnd w:id="1"/>
      <w:r w:rsidR="00F9474D">
        <w:rPr>
          <w:rStyle w:val="CommentReference"/>
          <w:rFonts w:ascii="Calibri" w:hAnsi="Calibri"/>
          <w:lang w:val="en-US" w:eastAsia="en-US"/>
        </w:rPr>
        <w:commentReference w:id="1"/>
      </w:r>
      <w:r w:rsidR="00751C27" w:rsidRPr="000665B3">
        <w:rPr>
          <w:rFonts w:ascii="Cambria" w:hAnsi="Cambria" w:cs="Tahoma"/>
          <w:lang w:val="sr-Latn-CS"/>
        </w:rPr>
        <w:t>.</w:t>
      </w:r>
    </w:p>
    <w:p w:rsidR="00751C27" w:rsidRPr="002A0513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Pr="002A0513" w:rsidRDefault="002F0886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M</w:t>
      </w:r>
      <w:r w:rsidR="00751C27" w:rsidRPr="002A0513">
        <w:rPr>
          <w:rFonts w:ascii="Cambria" w:hAnsi="Cambria" w:cs="Tahoma"/>
          <w:lang w:val="sr-Latn-CS"/>
        </w:rPr>
        <w:t>jer</w:t>
      </w:r>
      <w:r>
        <w:rPr>
          <w:rFonts w:ascii="Cambria" w:hAnsi="Cambria" w:cs="Tahoma"/>
          <w:lang w:val="sr-Latn-CS"/>
        </w:rPr>
        <w:t>a</w:t>
      </w:r>
      <w:r w:rsidR="00751C27" w:rsidRPr="002A0513">
        <w:rPr>
          <w:rFonts w:ascii="Cambria" w:hAnsi="Cambria" w:cs="Tahoma"/>
          <w:lang w:val="sr-Latn-CS"/>
        </w:rPr>
        <w:t xml:space="preserve"> 3.1.12 </w:t>
      </w:r>
      <w:r>
        <w:rPr>
          <w:rFonts w:ascii="Cambria" w:hAnsi="Cambria" w:cs="Tahoma"/>
          <w:lang w:val="sr-Latn-CS"/>
        </w:rPr>
        <w:t>se</w:t>
      </w:r>
      <w:r w:rsidR="00751C27" w:rsidRPr="002A0513">
        <w:rPr>
          <w:rFonts w:ascii="Cambria" w:hAnsi="Cambria" w:cs="Tahoma"/>
          <w:lang w:val="sr-Latn-CS"/>
        </w:rPr>
        <w:t xml:space="preserve"> može realizovati i u saradnji sa</w:t>
      </w:r>
      <w:r w:rsidR="00503CF1">
        <w:rPr>
          <w:rFonts w:ascii="Cambria" w:hAnsi="Cambria" w:cs="Tahoma"/>
          <w:lang w:val="sr-Latn-CS"/>
        </w:rPr>
        <w:t xml:space="preserve"> nevladinim sektorom. </w:t>
      </w:r>
      <w:r w:rsidR="00751C27" w:rsidRPr="002A0513">
        <w:rPr>
          <w:rFonts w:ascii="Cambria" w:hAnsi="Cambria" w:cs="Tahoma"/>
          <w:lang w:val="sr-Latn-CS"/>
        </w:rPr>
        <w:t>HRA može</w:t>
      </w:r>
      <w:r w:rsidR="00503CF1">
        <w:rPr>
          <w:rFonts w:ascii="Cambria" w:hAnsi="Cambria" w:cs="Tahoma"/>
          <w:lang w:val="sr-Latn-CS"/>
        </w:rPr>
        <w:t xml:space="preserve"> znatno</w:t>
      </w:r>
      <w:r w:rsidR="00751C27" w:rsidRPr="002A0513">
        <w:rPr>
          <w:rFonts w:ascii="Cambria" w:hAnsi="Cambria" w:cs="Tahoma"/>
          <w:lang w:val="sr-Latn-CS"/>
        </w:rPr>
        <w:t xml:space="preserve"> da doprinese imajući u vidu da smo </w:t>
      </w:r>
      <w:r w:rsidR="00751C27">
        <w:rPr>
          <w:rFonts w:ascii="Cambria" w:hAnsi="Cambria" w:cs="Tahoma"/>
          <w:lang w:val="sr-Latn-CS"/>
        </w:rPr>
        <w:t>dvije</w:t>
      </w:r>
      <w:r w:rsidR="00751C27" w:rsidRPr="002A0513">
        <w:rPr>
          <w:rFonts w:ascii="Cambria" w:hAnsi="Cambria" w:cs="Tahoma"/>
          <w:lang w:val="sr-Latn-CS"/>
        </w:rPr>
        <w:t xml:space="preserve"> godine posjećivali zatvore, obučeni smo od strane kolega koji su i članovi CPT. Ideja našeg projekta bila je da prenesemo stečeno znanje pogotovo na </w:t>
      </w:r>
      <w:commentRangeStart w:id="2"/>
      <w:r w:rsidR="00751C27" w:rsidRPr="002A0513">
        <w:rPr>
          <w:rFonts w:ascii="Cambria" w:hAnsi="Cambria" w:cs="Tahoma"/>
          <w:lang w:val="sr-Latn-CS"/>
        </w:rPr>
        <w:t>NPM</w:t>
      </w:r>
      <w:commentRangeEnd w:id="2"/>
      <w:r w:rsidR="004C65E5">
        <w:rPr>
          <w:rStyle w:val="CommentReference"/>
          <w:rFonts w:ascii="Calibri" w:hAnsi="Calibri"/>
          <w:lang w:val="en-US" w:eastAsia="en-US"/>
        </w:rPr>
        <w:commentReference w:id="2"/>
      </w:r>
      <w:r w:rsidR="00751C27" w:rsidRPr="002A0513">
        <w:rPr>
          <w:rFonts w:ascii="Cambria" w:hAnsi="Cambria" w:cs="Tahoma"/>
          <w:lang w:val="sr-Latn-CS"/>
        </w:rPr>
        <w:t>.</w:t>
      </w:r>
    </w:p>
    <w:p w:rsidR="00751C27" w:rsidRPr="002A0513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EA7DBA" w:rsidRDefault="00EA7DBA" w:rsidP="002F0886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Preporuka 3.2. neopravdano nije primjenjena - č</w:t>
      </w:r>
      <w:r w:rsidR="002F0886" w:rsidRPr="002F0886">
        <w:rPr>
          <w:rFonts w:ascii="Cambria" w:hAnsi="Cambria" w:cs="Tahoma"/>
          <w:lang w:val="sr-Latn-CS"/>
        </w:rPr>
        <w:t xml:space="preserve">injenica da je neki pravni lijek propisan ne znači i da je djelotvoran u praksi, kako to pokazuje praksa Komiteta za ljudska prava i Evropskog suda za ljudska prava, </w:t>
      </w:r>
      <w:r>
        <w:rPr>
          <w:rFonts w:ascii="Cambria" w:hAnsi="Cambria" w:cs="Tahoma"/>
          <w:lang w:val="sr-Latn-CS"/>
        </w:rPr>
        <w:t>p</w:t>
      </w:r>
      <w:r w:rsidR="002F0886" w:rsidRPr="002F0886">
        <w:rPr>
          <w:rFonts w:ascii="Cambria" w:hAnsi="Cambria" w:cs="Tahoma"/>
          <w:lang w:val="sr-Latn-CS"/>
        </w:rPr>
        <w:t>a podsjeća</w:t>
      </w:r>
      <w:r>
        <w:rPr>
          <w:rFonts w:ascii="Cambria" w:hAnsi="Cambria" w:cs="Tahoma"/>
          <w:lang w:val="sr-Latn-CS"/>
        </w:rPr>
        <w:t>mo</w:t>
      </w:r>
      <w:r w:rsidR="002F0886">
        <w:rPr>
          <w:rFonts w:ascii="Cambria" w:hAnsi="Cambria" w:cs="Tahoma"/>
          <w:lang w:val="sr-Latn-CS"/>
        </w:rPr>
        <w:t xml:space="preserve"> da je izuzetno</w:t>
      </w:r>
      <w:r w:rsidR="002F0886" w:rsidRPr="00B63FDA">
        <w:rPr>
          <w:rFonts w:ascii="Cambria" w:hAnsi="Cambria" w:cs="Tahoma"/>
          <w:lang w:val="sr-Latn-CS"/>
        </w:rPr>
        <w:t>važna primjedba Evropske unije u odnosu na kritiku ustavne odredbe u kojoj je garantovano pravo na pravni lijek, ali ne i na ”djelotvoran” pravni lijek.</w:t>
      </w:r>
      <w:r w:rsidR="002F0886">
        <w:rPr>
          <w:rStyle w:val="FootnoteReference"/>
          <w:rFonts w:ascii="Cambria" w:hAnsi="Cambria" w:cs="Tahoma"/>
          <w:lang w:val="sr-Latn-CS"/>
        </w:rPr>
        <w:footnoteReference w:id="3"/>
      </w:r>
      <w:r w:rsidR="00751C27" w:rsidRPr="002F0886">
        <w:rPr>
          <w:rFonts w:ascii="Cambria" w:hAnsi="Cambria" w:cs="Tahoma"/>
          <w:lang w:val="sr-Latn-CS"/>
        </w:rPr>
        <w:t xml:space="preserve">U </w:t>
      </w:r>
      <w:r w:rsidR="002F0886">
        <w:rPr>
          <w:rFonts w:ascii="Cambria" w:hAnsi="Cambria" w:cs="Tahoma"/>
          <w:lang w:val="sr-Latn-CS"/>
        </w:rPr>
        <w:t>tom smislu stoji i sugestija HRA</w:t>
      </w:r>
      <w:r>
        <w:rPr>
          <w:rFonts w:ascii="Cambria" w:hAnsi="Cambria" w:cs="Tahoma"/>
          <w:lang w:val="sr-Latn-CS"/>
        </w:rPr>
        <w:t xml:space="preserve"> da se,</w:t>
      </w:r>
      <w:r w:rsidR="002F0886">
        <w:rPr>
          <w:rFonts w:ascii="Cambria" w:hAnsi="Cambria" w:cs="Tahoma"/>
          <w:lang w:val="sr-Latn-CS"/>
        </w:rPr>
        <w:t xml:space="preserve"> u </w:t>
      </w:r>
      <w:r w:rsidR="00751C27" w:rsidRPr="002F0886">
        <w:rPr>
          <w:rFonts w:ascii="Cambria" w:hAnsi="Cambria" w:cs="Tahoma"/>
          <w:lang w:val="sr-Latn-CS"/>
        </w:rPr>
        <w:t>okviru preporuke 3.2</w:t>
      </w:r>
      <w:r>
        <w:rPr>
          <w:rFonts w:ascii="Cambria" w:hAnsi="Cambria" w:cs="Tahoma"/>
          <w:lang w:val="sr-Latn-CS"/>
        </w:rPr>
        <w:t xml:space="preserve">, kao mjere propišu: </w:t>
      </w:r>
    </w:p>
    <w:p w:rsidR="00EA7DBA" w:rsidRDefault="00EA7DBA" w:rsidP="00EA7DBA">
      <w:pPr>
        <w:numPr>
          <w:ilvl w:val="0"/>
          <w:numId w:val="37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lastRenderedPageBreak/>
        <w:t xml:space="preserve">izrada analize djelotvornosti pravnih ljekova u Crnoj Gori za sve slučajeve kršenja ljudskih prava, i </w:t>
      </w:r>
    </w:p>
    <w:p w:rsidR="00751C27" w:rsidRPr="002F0886" w:rsidRDefault="00EA7DBA" w:rsidP="00EA7DBA">
      <w:pPr>
        <w:numPr>
          <w:ilvl w:val="0"/>
          <w:numId w:val="37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 xml:space="preserve">izmjena Zakona o ustavnom sudu, kojom bi se upotpunile nadležnosti ovog suda i ustavna žalba učinila djelotvornim pravnim lijekom u svim slučajevima kršenja </w:t>
      </w:r>
      <w:commentRangeStart w:id="3"/>
      <w:r>
        <w:rPr>
          <w:rFonts w:ascii="Cambria" w:hAnsi="Cambria" w:cs="Tahoma"/>
          <w:lang w:val="sr-Latn-CS"/>
        </w:rPr>
        <w:t>prava</w:t>
      </w:r>
      <w:commentRangeEnd w:id="3"/>
      <w:r w:rsidR="00CD2E5E">
        <w:rPr>
          <w:rStyle w:val="CommentReference"/>
          <w:rFonts w:ascii="Calibri" w:hAnsi="Calibri"/>
          <w:lang w:val="en-US" w:eastAsia="en-US"/>
        </w:rPr>
        <w:commentReference w:id="3"/>
      </w:r>
      <w:r>
        <w:rPr>
          <w:rFonts w:ascii="Cambria" w:hAnsi="Cambria" w:cs="Tahoma"/>
          <w:lang w:val="sr-Latn-CS"/>
        </w:rPr>
        <w:t>.</w:t>
      </w:r>
    </w:p>
    <w:p w:rsidR="005F1106" w:rsidRDefault="005F1106" w:rsidP="005F1106">
      <w:pPr>
        <w:ind w:left="720"/>
        <w:jc w:val="both"/>
        <w:rPr>
          <w:rFonts w:ascii="Cambria" w:hAnsi="Cambria" w:cs="Tahoma"/>
          <w:lang w:val="sr-Latn-CS"/>
        </w:rPr>
      </w:pPr>
    </w:p>
    <w:p w:rsidR="00751C27" w:rsidRPr="00250E6A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2A0513">
        <w:rPr>
          <w:rFonts w:ascii="Cambria" w:hAnsi="Cambria" w:cs="Tahoma"/>
          <w:lang w:val="sr-Latn-CS"/>
        </w:rPr>
        <w:t>U okviru preporuke 3.3</w:t>
      </w:r>
      <w:r w:rsidR="00EA7DBA">
        <w:rPr>
          <w:rFonts w:ascii="Cambria" w:hAnsi="Cambria" w:cs="Tahoma"/>
          <w:lang w:val="sr-Latn-CS"/>
        </w:rPr>
        <w:t>,</w:t>
      </w:r>
      <w:r w:rsidRPr="002A0513">
        <w:rPr>
          <w:rFonts w:ascii="Cambria" w:hAnsi="Cambria" w:cs="Tahoma"/>
          <w:lang w:val="sr-Latn-CS"/>
        </w:rPr>
        <w:t xml:space="preserve"> koja se odnosi na potpunu primjenu preporuka </w:t>
      </w:r>
      <w:r w:rsidR="00EA7DBA">
        <w:rPr>
          <w:rFonts w:ascii="Cambria" w:hAnsi="Cambria" w:cs="Tahoma"/>
          <w:lang w:val="sr-Latn-CS"/>
        </w:rPr>
        <w:t>E</w:t>
      </w:r>
      <w:r w:rsidRPr="002A0513">
        <w:rPr>
          <w:rFonts w:ascii="Cambria" w:hAnsi="Cambria" w:cs="Tahoma"/>
          <w:lang w:val="sr-Latn-CS"/>
        </w:rPr>
        <w:t xml:space="preserve">vropskog komiteta za prevenciju mučenja i nečovječnog ili ponižavajućeg postupanja ili kažnjavanja (CPT) </w:t>
      </w:r>
      <w:r w:rsidR="005F1106">
        <w:rPr>
          <w:rFonts w:ascii="Cambria" w:hAnsi="Cambria" w:cs="Tahoma"/>
          <w:lang w:val="sr-Latn-CS"/>
        </w:rPr>
        <w:t xml:space="preserve">od posebnog značaja je </w:t>
      </w:r>
      <w:r w:rsidRPr="002A0513">
        <w:rPr>
          <w:rFonts w:ascii="Cambria" w:hAnsi="Cambria" w:cs="Tahoma"/>
          <w:lang w:val="sr-Latn-CS"/>
        </w:rPr>
        <w:t>pr</w:t>
      </w:r>
      <w:r w:rsidR="00934BF7">
        <w:rPr>
          <w:rFonts w:ascii="Cambria" w:hAnsi="Cambria" w:cs="Tahoma"/>
          <w:lang w:val="sr-Latn-CS"/>
        </w:rPr>
        <w:t>ojekat</w:t>
      </w:r>
      <w:r w:rsidRPr="00040338">
        <w:rPr>
          <w:rFonts w:ascii="Cambria" w:hAnsi="Cambria" w:cs="Tahoma"/>
          <w:i/>
          <w:lang w:val="sr-Latn-CS"/>
        </w:rPr>
        <w:t>”Monitoring poštovanja ljudskih prava u ustanovama zatvorenog tipa u Crnoj Gori”</w:t>
      </w:r>
      <w:r w:rsidR="005F1106">
        <w:rPr>
          <w:rFonts w:ascii="Cambria" w:hAnsi="Cambria" w:cs="Tahoma"/>
          <w:lang w:val="sr-Latn-CS"/>
        </w:rPr>
        <w:t>,</w:t>
      </w:r>
      <w:r w:rsidR="00EA7DBA">
        <w:rPr>
          <w:rFonts w:ascii="Cambria" w:hAnsi="Cambria" w:cs="Tahoma"/>
          <w:lang w:val="sr-Latn-CS"/>
        </w:rPr>
        <w:t xml:space="preserve"> HRA i partnerskih organizacija CGO, EKVISTA, SŽK i LHRC i BGC,</w:t>
      </w:r>
      <w:r w:rsidR="005F1106">
        <w:rPr>
          <w:rFonts w:ascii="Cambria" w:hAnsi="Cambria" w:cs="Tahoma"/>
          <w:lang w:val="sr-Latn-CS"/>
        </w:rPr>
        <w:t xml:space="preserve"> i rezultat monitoringa koji je </w:t>
      </w:r>
      <w:r w:rsidR="00EA7DBA">
        <w:rPr>
          <w:rFonts w:ascii="Cambria" w:hAnsi="Cambria" w:cs="Tahoma"/>
          <w:lang w:val="sr-Latn-CS"/>
        </w:rPr>
        <w:t>pokaza</w:t>
      </w:r>
      <w:r w:rsidR="005F1106">
        <w:rPr>
          <w:rFonts w:ascii="Cambria" w:hAnsi="Cambria" w:cs="Tahoma"/>
          <w:lang w:val="sr-Latn-CS"/>
        </w:rPr>
        <w:t>o</w:t>
      </w:r>
      <w:r w:rsidRPr="002A0513">
        <w:rPr>
          <w:rFonts w:ascii="Cambria" w:hAnsi="Cambria" w:cs="Tahoma"/>
          <w:lang w:val="sr-Latn-CS"/>
        </w:rPr>
        <w:t xml:space="preserve"> da su preporuke CPT-ja i dodatne brojne preporuke NVO ispunjene u velikoj mjeri (2/3</w:t>
      </w:r>
      <w:r w:rsidRPr="00250E6A">
        <w:rPr>
          <w:rFonts w:ascii="Cambria" w:hAnsi="Cambria" w:cs="Tahoma"/>
          <w:lang w:val="sr-Latn-CS"/>
        </w:rPr>
        <w:t xml:space="preserve"> do ¾ ), a da su u toku aktivnosti da se i ostale ispune</w:t>
      </w:r>
      <w:r>
        <w:rPr>
          <w:rStyle w:val="FootnoteReference"/>
          <w:rFonts w:ascii="Cambria" w:hAnsi="Cambria" w:cs="Tahoma"/>
          <w:lang w:val="sr-Latn-CS"/>
        </w:rPr>
        <w:footnoteReference w:id="4"/>
      </w:r>
      <w:r w:rsidRPr="00250E6A">
        <w:rPr>
          <w:rFonts w:ascii="Cambria" w:hAnsi="Cambria" w:cs="Tahoma"/>
          <w:lang w:val="sr-Latn-CS"/>
        </w:rPr>
        <w:t xml:space="preserve">. </w:t>
      </w:r>
      <w:r w:rsidR="005F1106">
        <w:rPr>
          <w:rFonts w:ascii="Cambria" w:hAnsi="Cambria" w:cs="Tahoma"/>
          <w:lang w:val="sr-Latn-CS"/>
        </w:rPr>
        <w:t>Projekat predstavlja i pokazatelj spremnosti Vlade za saradnju</w:t>
      </w:r>
      <w:r w:rsidRPr="00250E6A">
        <w:rPr>
          <w:rFonts w:ascii="Cambria" w:hAnsi="Cambria" w:cs="Tahoma"/>
          <w:lang w:val="sr-Latn-CS"/>
        </w:rPr>
        <w:t xml:space="preserve"> koja je NVO omogućila nenajavljen pristup ustanovama socijalnog staranja i psihijatrijsk</w:t>
      </w:r>
      <w:r w:rsidR="005F1106">
        <w:rPr>
          <w:rFonts w:ascii="Cambria" w:hAnsi="Cambria" w:cs="Tahoma"/>
          <w:lang w:val="sr-Latn-CS"/>
        </w:rPr>
        <w:t xml:space="preserve">im klinikama, a zatvorima uz obavještenje 24 h </w:t>
      </w:r>
      <w:commentRangeStart w:id="4"/>
      <w:r w:rsidR="005F1106">
        <w:rPr>
          <w:rFonts w:ascii="Cambria" w:hAnsi="Cambria" w:cs="Tahoma"/>
          <w:lang w:val="sr-Latn-CS"/>
        </w:rPr>
        <w:t>unaprijed</w:t>
      </w:r>
      <w:commentRangeEnd w:id="4"/>
      <w:r w:rsidR="00175BD4">
        <w:rPr>
          <w:rStyle w:val="CommentReference"/>
          <w:rFonts w:ascii="Calibri" w:hAnsi="Calibri"/>
          <w:lang w:val="en-US" w:eastAsia="en-US"/>
        </w:rPr>
        <w:commentReference w:id="4"/>
      </w:r>
      <w:r w:rsidR="005F1106">
        <w:rPr>
          <w:rFonts w:ascii="Cambria" w:hAnsi="Cambria" w:cs="Tahoma"/>
          <w:lang w:val="sr-Latn-CS"/>
        </w:rPr>
        <w:t>.</w:t>
      </w:r>
    </w:p>
    <w:p w:rsidR="00751C27" w:rsidRPr="002A0513" w:rsidRDefault="00751C27" w:rsidP="00751C27">
      <w:pPr>
        <w:ind w:left="720"/>
        <w:jc w:val="both"/>
        <w:rPr>
          <w:rFonts w:ascii="Cambria" w:hAnsi="Cambria" w:cs="Tahoma"/>
          <w:lang w:val="sr-Latn-CS"/>
        </w:rPr>
      </w:pPr>
    </w:p>
    <w:p w:rsidR="00F234B3" w:rsidRPr="00EA7DBA" w:rsidRDefault="00F234B3" w:rsidP="00EA7DBA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 w:cs="Tahoma"/>
          <w:lang w:val="sr-Latn-CS"/>
        </w:rPr>
        <w:t>U okviru mjere 3.3.1</w:t>
      </w:r>
      <w:r w:rsidR="00EA7DBA">
        <w:rPr>
          <w:rFonts w:ascii="Cambria" w:hAnsi="Cambria" w:cs="Tahoma"/>
          <w:lang w:val="sr-Latn-CS"/>
        </w:rPr>
        <w:t xml:space="preserve">, </w:t>
      </w:r>
      <w:r w:rsidR="00751C27" w:rsidRPr="00F234B3">
        <w:rPr>
          <w:rFonts w:ascii="Cambria" w:hAnsi="Cambria" w:cs="Tahoma"/>
          <w:lang w:val="sr-Latn-CS"/>
        </w:rPr>
        <w:t>poželjno</w:t>
      </w:r>
      <w:r w:rsidR="00EA7DBA">
        <w:rPr>
          <w:rFonts w:ascii="Cambria" w:hAnsi="Cambria" w:cs="Tahoma"/>
          <w:lang w:val="sr-Latn-CS"/>
        </w:rPr>
        <w:t xml:space="preserve"> je pretež</w:t>
      </w:r>
      <w:r w:rsidR="00751C27" w:rsidRPr="00F234B3">
        <w:rPr>
          <w:rFonts w:ascii="Cambria" w:hAnsi="Cambria" w:cs="Tahoma"/>
          <w:lang w:val="sr-Latn-CS"/>
        </w:rPr>
        <w:t>no zakonsko regulisanje prava</w:t>
      </w:r>
      <w:r>
        <w:rPr>
          <w:rFonts w:ascii="Cambria" w:hAnsi="Cambria" w:cs="Tahoma"/>
          <w:lang w:val="sr-Latn-CS"/>
        </w:rPr>
        <w:t xml:space="preserve"> i obaveza, da je neophodno </w:t>
      </w:r>
      <w:r w:rsidR="00751C27" w:rsidRPr="00F234B3">
        <w:rPr>
          <w:rFonts w:ascii="Cambria" w:hAnsi="Cambria"/>
        </w:rPr>
        <w:t>Zakonom o izvršenju kazni zatvora predvidjeti sve garancije pravičnosti postupka koje su sadržane u Evropskim zatvorskim pravilima.  Takođe, Pravilnik o kućnom redu uskladiti sa Evropskim zatvorskim pravilima i CPT standardima</w:t>
      </w:r>
      <w:r w:rsidR="00751C27">
        <w:rPr>
          <w:rStyle w:val="FootnoteReference"/>
          <w:rFonts w:ascii="Cambria" w:hAnsi="Cambria"/>
        </w:rPr>
        <w:footnoteReference w:id="5"/>
      </w:r>
      <w:r>
        <w:rPr>
          <w:rFonts w:ascii="Cambria" w:hAnsi="Cambria"/>
        </w:rPr>
        <w:t>, ali i</w:t>
      </w:r>
      <w:r w:rsidR="005F1106" w:rsidRPr="00F234B3">
        <w:rPr>
          <w:rFonts w:ascii="Cambria" w:hAnsi="Cambria"/>
        </w:rPr>
        <w:t xml:space="preserve"> dodatne mjere u cilju dodatnog poštovanja potrebe hitnosti postupanja, nepristrasnosti</w:t>
      </w:r>
      <w:r>
        <w:rPr>
          <w:rFonts w:ascii="Cambria" w:hAnsi="Cambria"/>
        </w:rPr>
        <w:t xml:space="preserve">i </w:t>
      </w:r>
      <w:commentRangeStart w:id="5"/>
      <w:r>
        <w:rPr>
          <w:rFonts w:ascii="Cambria" w:hAnsi="Cambria"/>
        </w:rPr>
        <w:t>pravičnosti</w:t>
      </w:r>
      <w:commentRangeEnd w:id="5"/>
      <w:r w:rsidR="009A0BE9">
        <w:rPr>
          <w:rStyle w:val="CommentReference"/>
          <w:rFonts w:ascii="Calibri" w:hAnsi="Calibri"/>
          <w:lang w:val="en-US" w:eastAsia="en-US"/>
        </w:rPr>
        <w:commentReference w:id="5"/>
      </w:r>
      <w:r>
        <w:rPr>
          <w:rFonts w:ascii="Cambria" w:hAnsi="Cambria"/>
        </w:rPr>
        <w:t>.</w:t>
      </w:r>
    </w:p>
    <w:p w:rsidR="00F234B3" w:rsidRPr="00F234B3" w:rsidRDefault="00F234B3" w:rsidP="00F234B3">
      <w:pPr>
        <w:ind w:left="720"/>
        <w:jc w:val="both"/>
        <w:rPr>
          <w:rFonts w:ascii="Cambria" w:hAnsi="Cambria"/>
        </w:rPr>
      </w:pPr>
    </w:p>
    <w:p w:rsidR="00751C27" w:rsidRDefault="00751C27" w:rsidP="00F234B3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2A0513">
        <w:rPr>
          <w:rFonts w:ascii="Cambria" w:hAnsi="Cambria" w:cs="Tahoma"/>
          <w:lang w:val="sr-Latn-CS"/>
        </w:rPr>
        <w:t>U okviru mjere 3.3.</w:t>
      </w:r>
      <w:r w:rsidR="00F234B3">
        <w:rPr>
          <w:rFonts w:ascii="Cambria" w:hAnsi="Cambria" w:cs="Tahoma"/>
          <w:lang w:val="sr-Latn-CS"/>
        </w:rPr>
        <w:t>2</w:t>
      </w:r>
      <w:r w:rsidR="00EA7DBA">
        <w:rPr>
          <w:rFonts w:ascii="Cambria" w:hAnsi="Cambria" w:cs="Tahoma"/>
          <w:lang w:val="sr-Latn-CS"/>
        </w:rPr>
        <w:t>,</w:t>
      </w:r>
      <w:r>
        <w:rPr>
          <w:rFonts w:ascii="Cambria" w:hAnsi="Cambria" w:cs="Tahoma"/>
          <w:lang w:val="sr-Latn-CS"/>
        </w:rPr>
        <w:t>p</w:t>
      </w:r>
      <w:r w:rsidRPr="000C008A">
        <w:rPr>
          <w:rFonts w:ascii="Cambria" w:hAnsi="Cambria" w:cs="Tahoma"/>
          <w:lang w:val="sr-Latn-CS"/>
        </w:rPr>
        <w:t xml:space="preserve">odstaći primjenu alternativnih sankcija, posebno rada u opštem interesu, </w:t>
      </w:r>
      <w:r w:rsidR="00F234B3">
        <w:rPr>
          <w:rFonts w:ascii="Cambria" w:hAnsi="Cambria" w:cs="Tahoma"/>
          <w:lang w:val="sr-Latn-CS"/>
        </w:rPr>
        <w:t>i u</w:t>
      </w:r>
      <w:r w:rsidRPr="000C008A">
        <w:rPr>
          <w:rFonts w:ascii="Cambria" w:hAnsi="Cambria" w:cs="Tahoma"/>
          <w:lang w:val="sr-Latn-CS"/>
        </w:rPr>
        <w:t xml:space="preserve"> što kraćem roku</w:t>
      </w:r>
      <w:r w:rsidR="00F234B3">
        <w:rPr>
          <w:rFonts w:ascii="Cambria" w:hAnsi="Cambria" w:cs="Tahoma"/>
          <w:lang w:val="sr-Latn-CS"/>
        </w:rPr>
        <w:t xml:space="preserve"> obezbjediti uslove </w:t>
      </w:r>
      <w:r w:rsidRPr="000C008A">
        <w:rPr>
          <w:rFonts w:ascii="Cambria" w:hAnsi="Cambria" w:cs="Tahoma"/>
          <w:lang w:val="sr-Latn-CS"/>
        </w:rPr>
        <w:t>da se r</w:t>
      </w:r>
      <w:r w:rsidR="00F234B3">
        <w:rPr>
          <w:rFonts w:ascii="Cambria" w:hAnsi="Cambria" w:cs="Tahoma"/>
          <w:lang w:val="sr-Latn-CS"/>
        </w:rPr>
        <w:t xml:space="preserve">adno angažuje 80% osuđenih lica </w:t>
      </w:r>
      <w:r w:rsidRPr="000C008A">
        <w:rPr>
          <w:rFonts w:ascii="Cambria" w:hAnsi="Cambria" w:cs="Tahoma"/>
          <w:lang w:val="sr-Latn-CS"/>
        </w:rPr>
        <w:t>i pro</w:t>
      </w:r>
      <w:r w:rsidR="00F234B3">
        <w:rPr>
          <w:rFonts w:ascii="Cambria" w:hAnsi="Cambria" w:cs="Tahoma"/>
          <w:lang w:val="sr-Latn-CS"/>
        </w:rPr>
        <w:t xml:space="preserve">širiti izbor radnog </w:t>
      </w:r>
      <w:commentRangeStart w:id="6"/>
      <w:r w:rsidR="00F234B3">
        <w:rPr>
          <w:rFonts w:ascii="Cambria" w:hAnsi="Cambria" w:cs="Tahoma"/>
          <w:lang w:val="sr-Latn-CS"/>
        </w:rPr>
        <w:t>angažovanja</w:t>
      </w:r>
      <w:commentRangeEnd w:id="6"/>
      <w:r w:rsidR="009A0BE9">
        <w:rPr>
          <w:rStyle w:val="CommentReference"/>
          <w:rFonts w:ascii="Calibri" w:hAnsi="Calibri"/>
          <w:lang w:val="en-US" w:eastAsia="en-US"/>
        </w:rPr>
        <w:commentReference w:id="6"/>
      </w:r>
      <w:r w:rsidR="00F234B3">
        <w:rPr>
          <w:rFonts w:ascii="Cambria" w:hAnsi="Cambria" w:cs="Tahoma"/>
          <w:lang w:val="sr-Latn-CS"/>
        </w:rPr>
        <w:t>.</w:t>
      </w:r>
    </w:p>
    <w:p w:rsidR="00F234B3" w:rsidRDefault="00F234B3" w:rsidP="00F234B3">
      <w:pPr>
        <w:ind w:left="720"/>
        <w:jc w:val="both"/>
        <w:rPr>
          <w:rFonts w:ascii="Cambria" w:hAnsi="Cambria" w:cs="Tahoma"/>
          <w:lang w:val="sr-Latn-CS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0E28AA">
        <w:rPr>
          <w:rFonts w:ascii="Cambria" w:hAnsi="Cambria" w:cs="Tahoma"/>
          <w:lang w:val="sr-Latn-CS"/>
        </w:rPr>
        <w:t>U okviru mjere 3.3.3</w:t>
      </w:r>
      <w:r w:rsidR="00EA7DBA">
        <w:rPr>
          <w:rFonts w:ascii="Cambria" w:hAnsi="Cambria" w:cs="Tahoma"/>
          <w:lang w:val="sr-Latn-CS"/>
        </w:rPr>
        <w:t>,</w:t>
      </w:r>
      <w:r w:rsidRPr="000E28AA">
        <w:rPr>
          <w:rFonts w:ascii="Cambria" w:hAnsi="Cambria" w:cs="Tahoma"/>
          <w:lang w:val="sr-Latn-CS"/>
        </w:rPr>
        <w:t>preduzeti mjere da se riješi problem prenaseljenosti i postigne usklađenost s evropskim standardima</w:t>
      </w:r>
      <w:r w:rsidR="00F234B3">
        <w:rPr>
          <w:rFonts w:ascii="Cambria" w:hAnsi="Cambria" w:cs="Tahoma"/>
          <w:lang w:val="sr-Latn-CS"/>
        </w:rPr>
        <w:t xml:space="preserve">, uz unaprijeđenje tehničkog sistema obezbjeđenja i </w:t>
      </w:r>
      <w:commentRangeStart w:id="7"/>
      <w:r w:rsidR="00F234B3">
        <w:rPr>
          <w:rFonts w:ascii="Cambria" w:hAnsi="Cambria" w:cs="Tahoma"/>
          <w:lang w:val="sr-Latn-CS"/>
        </w:rPr>
        <w:t>praćenja</w:t>
      </w:r>
      <w:commentRangeEnd w:id="7"/>
      <w:r w:rsidR="00D45C9B">
        <w:rPr>
          <w:rStyle w:val="CommentReference"/>
          <w:rFonts w:ascii="Calibri" w:hAnsi="Calibri"/>
          <w:lang w:val="en-US" w:eastAsia="en-US"/>
        </w:rPr>
        <w:commentReference w:id="7"/>
      </w:r>
      <w:r w:rsidR="00F234B3">
        <w:rPr>
          <w:rFonts w:ascii="Cambria" w:hAnsi="Cambria" w:cs="Tahoma"/>
          <w:lang w:val="sr-Latn-CS"/>
        </w:rPr>
        <w:t>.</w:t>
      </w:r>
    </w:p>
    <w:p w:rsidR="00751C27" w:rsidRPr="00BC3D80" w:rsidRDefault="00751C27" w:rsidP="00751C27">
      <w:pPr>
        <w:jc w:val="both"/>
        <w:rPr>
          <w:rFonts w:ascii="Cambria" w:hAnsi="Cambria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70232F">
        <w:rPr>
          <w:rFonts w:ascii="Cambria" w:hAnsi="Cambria" w:cs="Tahoma"/>
          <w:lang w:val="sr-Latn-CS"/>
        </w:rPr>
        <w:t>U o</w:t>
      </w:r>
      <w:r w:rsidR="00EA7DBA">
        <w:rPr>
          <w:rFonts w:ascii="Cambria" w:hAnsi="Cambria" w:cs="Tahoma"/>
          <w:lang w:val="sr-Latn-CS"/>
        </w:rPr>
        <w:t>dnosu na</w:t>
      </w:r>
      <w:r w:rsidRPr="0070232F">
        <w:rPr>
          <w:rFonts w:ascii="Cambria" w:hAnsi="Cambria" w:cs="Tahoma"/>
          <w:lang w:val="sr-Latn-CS"/>
        </w:rPr>
        <w:t xml:space="preserve"> mjer</w:t>
      </w:r>
      <w:r w:rsidR="00EA7DBA">
        <w:rPr>
          <w:rFonts w:ascii="Cambria" w:hAnsi="Cambria" w:cs="Tahoma"/>
          <w:lang w:val="sr-Latn-CS"/>
        </w:rPr>
        <w:t>u</w:t>
      </w:r>
      <w:r w:rsidRPr="0070232F">
        <w:rPr>
          <w:rFonts w:ascii="Cambria" w:hAnsi="Cambria" w:cs="Tahoma"/>
          <w:lang w:val="sr-Latn-CS"/>
        </w:rPr>
        <w:t xml:space="preserve"> 3.3.7</w:t>
      </w:r>
      <w:r w:rsidR="00934BF7">
        <w:rPr>
          <w:rFonts w:ascii="Cambria" w:hAnsi="Cambria" w:cs="Tahoma"/>
          <w:lang w:val="sr-Latn-CS"/>
        </w:rPr>
        <w:t>, između ostalog,</w:t>
      </w:r>
      <w:r w:rsidRPr="0070232F">
        <w:rPr>
          <w:rFonts w:ascii="Cambria" w:hAnsi="Cambria" w:cs="Tahoma"/>
          <w:lang w:val="sr-Latn-CS"/>
        </w:rPr>
        <w:t xml:space="preserve"> ističemo problem da se ljekarski pregled n</w:t>
      </w:r>
      <w:r>
        <w:rPr>
          <w:rFonts w:ascii="Cambria" w:hAnsi="Cambria" w:cs="Tahoma"/>
          <w:lang w:val="sr-Latn-CS"/>
        </w:rPr>
        <w:t>ij</w:t>
      </w:r>
      <w:r w:rsidRPr="0070232F">
        <w:rPr>
          <w:rFonts w:ascii="Cambria" w:hAnsi="Cambria" w:cs="Tahoma"/>
          <w:lang w:val="sr-Latn-CS"/>
        </w:rPr>
        <w:t>e obavlja</w:t>
      </w:r>
      <w:r>
        <w:rPr>
          <w:rFonts w:ascii="Cambria" w:hAnsi="Cambria" w:cs="Tahoma"/>
          <w:lang w:val="sr-Latn-CS"/>
        </w:rPr>
        <w:t>o</w:t>
      </w:r>
      <w:r w:rsidRPr="0070232F">
        <w:rPr>
          <w:rFonts w:ascii="Cambria" w:hAnsi="Cambria" w:cs="Tahoma"/>
          <w:lang w:val="sr-Latn-CS"/>
        </w:rPr>
        <w:t xml:space="preserve"> sistematično u rok</w:t>
      </w:r>
      <w:r w:rsidR="00934BF7">
        <w:rPr>
          <w:rFonts w:ascii="Cambria" w:hAnsi="Cambria" w:cs="Tahoma"/>
          <w:lang w:val="sr-Latn-CS"/>
        </w:rPr>
        <w:t xml:space="preserve">u od 24h nakon prijema u </w:t>
      </w:r>
      <w:commentRangeStart w:id="8"/>
      <w:r w:rsidR="00934BF7">
        <w:rPr>
          <w:rFonts w:ascii="Cambria" w:hAnsi="Cambria" w:cs="Tahoma"/>
          <w:lang w:val="sr-Latn-CS"/>
        </w:rPr>
        <w:t>zatvor</w:t>
      </w:r>
      <w:commentRangeEnd w:id="8"/>
      <w:r w:rsidR="00704D33">
        <w:rPr>
          <w:rStyle w:val="CommentReference"/>
          <w:rFonts w:ascii="Calibri" w:hAnsi="Calibri"/>
          <w:lang w:val="en-US" w:eastAsia="en-US"/>
        </w:rPr>
        <w:commentReference w:id="8"/>
      </w:r>
      <w:r w:rsidR="00934BF7">
        <w:rPr>
          <w:rFonts w:ascii="Cambria" w:hAnsi="Cambria" w:cs="Tahoma"/>
          <w:lang w:val="sr-Latn-CS"/>
        </w:rPr>
        <w:t>.</w:t>
      </w:r>
    </w:p>
    <w:p w:rsidR="00751C27" w:rsidRDefault="00751C27" w:rsidP="00633C71">
      <w:pPr>
        <w:pStyle w:val="ColorfulList-Accent11"/>
        <w:ind w:left="0"/>
        <w:rPr>
          <w:rFonts w:ascii="Cambria" w:hAnsi="Cambria" w:cs="Tahoma"/>
          <w:lang w:val="sr-Latn-CS"/>
        </w:rPr>
      </w:pPr>
    </w:p>
    <w:p w:rsidR="00751C27" w:rsidRDefault="00934BF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Mjerama</w:t>
      </w:r>
      <w:r w:rsidR="00751C27" w:rsidRPr="002813B6">
        <w:rPr>
          <w:rFonts w:ascii="Cambria" w:hAnsi="Cambria" w:cs="Tahoma"/>
          <w:lang w:val="sr-Latn-CS"/>
        </w:rPr>
        <w:t>3.3.10</w:t>
      </w:r>
      <w:r>
        <w:rPr>
          <w:rFonts w:ascii="Cambria" w:hAnsi="Cambria" w:cs="Tahoma"/>
          <w:lang w:val="sr-Latn-CS"/>
        </w:rPr>
        <w:t xml:space="preserve"> potrebno je</w:t>
      </w:r>
      <w:r w:rsidR="00751C27">
        <w:rPr>
          <w:rFonts w:ascii="Cambria" w:hAnsi="Cambria" w:cs="Tahoma"/>
          <w:lang w:val="sr-Latn-CS"/>
        </w:rPr>
        <w:t xml:space="preserve"> p</w:t>
      </w:r>
      <w:r w:rsidR="00751C27" w:rsidRPr="002813B6">
        <w:rPr>
          <w:rFonts w:ascii="Cambria" w:hAnsi="Cambria" w:cs="Tahoma"/>
          <w:lang w:val="sr-Latn-CS"/>
        </w:rPr>
        <w:t xml:space="preserve">redvidjeti da se osnovno obrazovanje organizuje za sva osuđena lica koja nemaju završenu osnovnu školu. </w:t>
      </w:r>
      <w:r>
        <w:rPr>
          <w:rFonts w:ascii="Cambria" w:hAnsi="Cambria" w:cs="Tahoma"/>
          <w:lang w:val="sr-Latn-CS"/>
        </w:rPr>
        <w:t>U tom smislu, postoji obaveza i da se</w:t>
      </w:r>
      <w:r w:rsidR="00FC591C">
        <w:rPr>
          <w:rFonts w:ascii="Cambria" w:hAnsi="Cambria" w:cs="Tahoma"/>
          <w:lang w:val="sr-Latn-CS"/>
        </w:rPr>
        <w:t xml:space="preserve"> p</w:t>
      </w:r>
      <w:r w:rsidR="00751C27" w:rsidRPr="002813B6">
        <w:rPr>
          <w:rFonts w:ascii="Cambria" w:hAnsi="Cambria" w:cs="Tahoma"/>
          <w:lang w:val="sr-Latn-CS"/>
        </w:rPr>
        <w:t xml:space="preserve">reciznije uredi pravo na </w:t>
      </w:r>
      <w:r w:rsidR="00FC591C">
        <w:rPr>
          <w:rFonts w:ascii="Cambria" w:hAnsi="Cambria" w:cs="Tahoma"/>
          <w:lang w:val="sr-Latn-CS"/>
        </w:rPr>
        <w:t xml:space="preserve">polaganje ispita i </w:t>
      </w:r>
      <w:r w:rsidR="00751C27" w:rsidRPr="002813B6">
        <w:rPr>
          <w:rFonts w:ascii="Cambria" w:hAnsi="Cambria" w:cs="Tahoma"/>
          <w:lang w:val="sr-Latn-CS"/>
        </w:rPr>
        <w:t>opismenja</w:t>
      </w:r>
      <w:r w:rsidR="00FC591C">
        <w:rPr>
          <w:rFonts w:ascii="Cambria" w:hAnsi="Cambria" w:cs="Tahoma"/>
          <w:lang w:val="sr-Latn-CS"/>
        </w:rPr>
        <w:t>vanje nepismenih osuđenih lica, shodno preporukama CPT-</w:t>
      </w:r>
      <w:commentRangeStart w:id="9"/>
      <w:r w:rsidR="00FC591C">
        <w:rPr>
          <w:rFonts w:ascii="Cambria" w:hAnsi="Cambria" w:cs="Tahoma"/>
          <w:lang w:val="sr-Latn-CS"/>
        </w:rPr>
        <w:t>a</w:t>
      </w:r>
      <w:commentRangeEnd w:id="9"/>
      <w:r w:rsidR="00220E33">
        <w:rPr>
          <w:rStyle w:val="CommentReference"/>
          <w:rFonts w:ascii="Calibri" w:hAnsi="Calibri"/>
          <w:lang w:val="en-US" w:eastAsia="en-US"/>
        </w:rPr>
        <w:commentReference w:id="9"/>
      </w:r>
      <w:r w:rsidR="00FC591C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FC591C" w:rsidRPr="00FC591C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FC591C">
        <w:rPr>
          <w:rFonts w:ascii="Cambria" w:hAnsi="Cambria" w:cs="Tahoma"/>
          <w:lang w:val="sr-Latn-CS"/>
        </w:rPr>
        <w:lastRenderedPageBreak/>
        <w:t xml:space="preserve">U okviru mjere 3.3.11. predvidjeti da se predstavnicima NVO koji se bave zaštitom ljudskih prava omoguće nenajavljene posjete i razgovori sa osuđenim i pritvorenim licima bez prisustva službenika ZIKS-a. </w:t>
      </w:r>
      <w:r w:rsidR="00FC591C" w:rsidRPr="00FC591C">
        <w:rPr>
          <w:rFonts w:ascii="Cambria" w:hAnsi="Cambria" w:cs="Tahoma"/>
          <w:lang w:val="sr-Latn-CS"/>
        </w:rPr>
        <w:t>K</w:t>
      </w:r>
      <w:r w:rsidRPr="00FC591C">
        <w:rPr>
          <w:rFonts w:ascii="Cambria" w:hAnsi="Cambria" w:cs="Tahoma"/>
          <w:lang w:val="sr-Latn-CS"/>
        </w:rPr>
        <w:t>ako bi bile u potpunosti djelotvorne, posjete radi monitoringa treba da budu česte i nenajavljene</w:t>
      </w:r>
      <w:r w:rsidR="00FC591C" w:rsidRPr="00FC591C">
        <w:rPr>
          <w:rFonts w:ascii="Cambria" w:hAnsi="Cambria" w:cs="Tahoma"/>
          <w:lang w:val="sr-Latn-CS"/>
        </w:rPr>
        <w:t xml:space="preserve"> a organi za monitoring moraju imati odgovarajuća </w:t>
      </w:r>
      <w:commentRangeStart w:id="10"/>
      <w:r w:rsidR="00FC591C" w:rsidRPr="00FC591C">
        <w:rPr>
          <w:rFonts w:ascii="Cambria" w:hAnsi="Cambria" w:cs="Tahoma"/>
          <w:lang w:val="sr-Latn-CS"/>
        </w:rPr>
        <w:t>ovlašćenja</w:t>
      </w:r>
      <w:commentRangeEnd w:id="10"/>
      <w:r w:rsidR="00250B1B">
        <w:rPr>
          <w:rStyle w:val="CommentReference"/>
          <w:rFonts w:ascii="Calibri" w:hAnsi="Calibri"/>
          <w:lang w:val="en-US" w:eastAsia="en-US"/>
        </w:rPr>
        <w:commentReference w:id="10"/>
      </w:r>
      <w:r w:rsidRPr="00FC591C">
        <w:rPr>
          <w:rFonts w:ascii="Cambria" w:hAnsi="Cambria" w:cs="Tahoma"/>
          <w:lang w:val="sr-Latn-CS"/>
        </w:rPr>
        <w:t xml:space="preserve">. </w:t>
      </w:r>
    </w:p>
    <w:p w:rsidR="00751C27" w:rsidRDefault="00751C27" w:rsidP="00EA7DBA">
      <w:pPr>
        <w:pStyle w:val="ColorfulList-Accent11"/>
        <w:ind w:left="0"/>
        <w:rPr>
          <w:rFonts w:ascii="Cambria" w:hAnsi="Cambria"/>
        </w:rPr>
      </w:pPr>
    </w:p>
    <w:p w:rsidR="00751C27" w:rsidRPr="009B6872" w:rsidRDefault="00FC591C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U pogledu mjere 3.3.16</w:t>
      </w:r>
      <w:r w:rsidR="00751C27">
        <w:rPr>
          <w:rFonts w:ascii="Cambria" w:hAnsi="Cambria"/>
        </w:rPr>
        <w:t xml:space="preserve"> HRA </w:t>
      </w:r>
      <w:r w:rsidR="00751C27" w:rsidRPr="009B6872">
        <w:rPr>
          <w:rFonts w:ascii="Cambria" w:hAnsi="Cambria"/>
        </w:rPr>
        <w:t>pozdravlja izgradnju n</w:t>
      </w:r>
      <w:r w:rsidR="00751C27">
        <w:rPr>
          <w:rFonts w:ascii="Cambria" w:hAnsi="Cambria"/>
        </w:rPr>
        <w:t>ove zgrade Zatvora Bijelo Polje, međutim, ističemo da je do</w:t>
      </w:r>
      <w:r w:rsidR="00751C27" w:rsidRPr="009B6872">
        <w:rPr>
          <w:rFonts w:ascii="Cambria" w:hAnsi="Cambria"/>
        </w:rPr>
        <w:t xml:space="preserve"> izgradnje nove zgrade zatvora u Bijelom Polju, prioritetno dograditi prostorije -dnevni boravak i disciplinske ćelije, za osuđena lica. Renovirati kupatila i toalete u okviru zatvora za osuđena </w:t>
      </w:r>
      <w:commentRangeStart w:id="11"/>
      <w:r w:rsidR="00751C27" w:rsidRPr="009B6872">
        <w:rPr>
          <w:rFonts w:ascii="Cambria" w:hAnsi="Cambria"/>
        </w:rPr>
        <w:t>lica</w:t>
      </w:r>
      <w:commentRangeEnd w:id="11"/>
      <w:r w:rsidR="00250B1B">
        <w:rPr>
          <w:rStyle w:val="CommentReference"/>
          <w:rFonts w:ascii="Calibri" w:hAnsi="Calibri"/>
          <w:lang w:val="en-US" w:eastAsia="en-US"/>
        </w:rPr>
        <w:commentReference w:id="11"/>
      </w:r>
      <w:r w:rsidR="00751C27" w:rsidRPr="009B6872">
        <w:rPr>
          <w:rFonts w:ascii="Cambria" w:hAnsi="Cambria"/>
        </w:rPr>
        <w:t>.</w:t>
      </w:r>
    </w:p>
    <w:p w:rsidR="00751C27" w:rsidRPr="0070232F" w:rsidRDefault="00751C27" w:rsidP="00751C27">
      <w:pPr>
        <w:jc w:val="both"/>
        <w:rPr>
          <w:rFonts w:ascii="Cambria" w:hAnsi="Cambria" w:cs="Tahoma"/>
          <w:lang w:val="sr-Latn-CS"/>
        </w:rPr>
      </w:pPr>
    </w:p>
    <w:p w:rsidR="00751C27" w:rsidRDefault="00FC591C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Dodati novu mjeru 3.3.18</w:t>
      </w:r>
      <w:r w:rsidR="00751C27" w:rsidRPr="002A0513">
        <w:rPr>
          <w:rFonts w:ascii="Cambria" w:hAnsi="Cambria" w:cs="Tahoma"/>
          <w:lang w:val="sr-Latn-CS"/>
        </w:rPr>
        <w:t xml:space="preserve"> koja podrazumijeva </w:t>
      </w:r>
      <w:r w:rsidR="00751C27" w:rsidRPr="00EA7DBA">
        <w:rPr>
          <w:rFonts w:ascii="Cambria" w:hAnsi="Cambria" w:cs="Tahoma"/>
          <w:b/>
          <w:lang w:val="sr-Latn-CS"/>
        </w:rPr>
        <w:t>izgradnju nove zgrade zatvora Podgorica (istražnog zatvora)</w:t>
      </w:r>
      <w:r w:rsidR="00751C27" w:rsidRPr="002A0513">
        <w:rPr>
          <w:rFonts w:ascii="Cambria" w:hAnsi="Cambria" w:cs="Tahoma"/>
          <w:lang w:val="sr-Latn-CS"/>
        </w:rPr>
        <w:t xml:space="preserve"> ili odgovarajuću</w:t>
      </w:r>
      <w:r w:rsidR="00751C27">
        <w:rPr>
          <w:rFonts w:ascii="Cambria" w:hAnsi="Cambria" w:cs="Tahoma"/>
          <w:lang w:val="sr-Latn-CS"/>
        </w:rPr>
        <w:t xml:space="preserve"> adaptaciju</w:t>
      </w:r>
      <w:r w:rsidR="00751C27" w:rsidRPr="002A0513">
        <w:rPr>
          <w:rFonts w:ascii="Cambria" w:hAnsi="Cambria" w:cs="Tahoma"/>
          <w:lang w:val="sr-Latn-CS"/>
        </w:rPr>
        <w:t xml:space="preserve"> postojeće da bi se unaprijedio režim osoba u pritvoru, koji je sada takav da su zaključani u ćelijama po 23h dnevno bez mogućnosti sprovođenja svrsishodnih aktivnosti, protivno standardu CPT. U izvještaju monitoring tima NVO o poštovanju prava osuđenih i pritvorenih lica u Zavodu za izvršenju krivičnih sankcija posebno je naglašena potreba za hitnim unapređenjem položaja pritvorenih osoba, u skladu sa preporukom CPT-ja iz 2008. godine</w:t>
      </w:r>
      <w:r w:rsidR="00751C27">
        <w:rPr>
          <w:rStyle w:val="FootnoteReference"/>
          <w:rFonts w:ascii="Cambria" w:hAnsi="Cambria" w:cs="Tahoma"/>
          <w:lang w:val="sr-Latn-CS"/>
        </w:rPr>
        <w:footnoteReference w:id="6"/>
      </w:r>
      <w:r w:rsidR="00751C27" w:rsidRPr="002A0513">
        <w:rPr>
          <w:rFonts w:ascii="Cambria" w:hAnsi="Cambria" w:cs="Tahoma"/>
          <w:lang w:val="sr-Latn-CS"/>
        </w:rPr>
        <w:t xml:space="preserve">. S obzirom na to da od tada u odnosu na režim pritvorenika nije došlo do značajnihih poboljšanja (osim što je broj lica u pritvoru gotovo prepolovljen), očekujemo da CPT ponovi istu preporuku i konstatuje da do danas nije </w:t>
      </w:r>
      <w:commentRangeStart w:id="12"/>
      <w:r w:rsidR="00751C27" w:rsidRPr="002A0513">
        <w:rPr>
          <w:rFonts w:ascii="Cambria" w:hAnsi="Cambria" w:cs="Tahoma"/>
          <w:lang w:val="sr-Latn-CS"/>
        </w:rPr>
        <w:t>ispunjena</w:t>
      </w:r>
      <w:commentRangeEnd w:id="12"/>
      <w:r w:rsidR="00794B04">
        <w:rPr>
          <w:rStyle w:val="CommentReference"/>
          <w:rFonts w:ascii="Calibri" w:hAnsi="Calibri"/>
          <w:lang w:val="en-US" w:eastAsia="en-US"/>
        </w:rPr>
        <w:commentReference w:id="12"/>
      </w:r>
      <w:r w:rsidR="00751C27" w:rsidRPr="002A0513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FC591C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FC591C">
        <w:rPr>
          <w:rFonts w:ascii="Cambria" w:hAnsi="Cambria" w:cs="Tahoma"/>
          <w:lang w:val="sr-Latn-CS"/>
        </w:rPr>
        <w:t>U okviru mjere 3.3.20 HRA ukazuje na potrebu da</w:t>
      </w:r>
      <w:r w:rsidR="00FC591C" w:rsidRPr="00FC591C">
        <w:rPr>
          <w:rFonts w:ascii="Cambria" w:hAnsi="Cambria" w:cs="Tahoma"/>
          <w:lang w:val="sr-Latn-CS"/>
        </w:rPr>
        <w:t xml:space="preserve"> se prilikom donošenja Zakona o izvršenju alternativnih sankcija</w:t>
      </w:r>
      <w:r w:rsidR="00FC591C">
        <w:rPr>
          <w:rFonts w:ascii="Cambria" w:hAnsi="Cambria" w:cs="Tahoma"/>
          <w:lang w:val="sr-Latn-CS"/>
        </w:rPr>
        <w:t xml:space="preserve"> vodi računa da bude </w:t>
      </w:r>
      <w:r w:rsidR="00EA7DBA">
        <w:rPr>
          <w:rFonts w:ascii="Cambria" w:hAnsi="Cambria" w:cs="Tahoma"/>
          <w:lang w:val="sr-Latn-CS"/>
        </w:rPr>
        <w:t>uskla</w:t>
      </w:r>
      <w:r w:rsidR="00FC591C">
        <w:rPr>
          <w:rFonts w:ascii="Cambria" w:hAnsi="Cambria" w:cs="Tahoma"/>
          <w:lang w:val="sr-Latn-CS"/>
        </w:rPr>
        <w:t>đen</w:t>
      </w:r>
      <w:r w:rsidR="00EA7DBA">
        <w:rPr>
          <w:rFonts w:ascii="Cambria" w:hAnsi="Cambria" w:cs="Tahoma"/>
          <w:lang w:val="sr-Latn-CS"/>
        </w:rPr>
        <w:t xml:space="preserve"> sa</w:t>
      </w:r>
      <w:r w:rsidRPr="00FC591C">
        <w:rPr>
          <w:rFonts w:ascii="Cambria" w:hAnsi="Cambria" w:cs="Tahoma"/>
          <w:lang w:val="sr-Latn-CS"/>
        </w:rPr>
        <w:t xml:space="preserve"> Zakon</w:t>
      </w:r>
      <w:r w:rsidR="00EA7DBA">
        <w:rPr>
          <w:rFonts w:ascii="Cambria" w:hAnsi="Cambria" w:cs="Tahoma"/>
          <w:lang w:val="sr-Latn-CS"/>
        </w:rPr>
        <w:t>om</w:t>
      </w:r>
      <w:r w:rsidRPr="00FC591C">
        <w:rPr>
          <w:rFonts w:ascii="Cambria" w:hAnsi="Cambria" w:cs="Tahoma"/>
          <w:lang w:val="sr-Latn-CS"/>
        </w:rPr>
        <w:t xml:space="preserve"> o izmjenam</w:t>
      </w:r>
      <w:r w:rsidR="00FC591C">
        <w:rPr>
          <w:rFonts w:ascii="Cambria" w:hAnsi="Cambria" w:cs="Tahoma"/>
          <w:lang w:val="sr-Latn-CS"/>
        </w:rPr>
        <w:t xml:space="preserve">a i dopunama Krivičnog </w:t>
      </w:r>
      <w:commentRangeStart w:id="13"/>
      <w:r w:rsidR="00FC591C">
        <w:rPr>
          <w:rFonts w:ascii="Cambria" w:hAnsi="Cambria" w:cs="Tahoma"/>
          <w:lang w:val="sr-Latn-CS"/>
        </w:rPr>
        <w:t>zakonika</w:t>
      </w:r>
      <w:commentRangeEnd w:id="13"/>
      <w:r w:rsidR="00C15562">
        <w:rPr>
          <w:rStyle w:val="CommentReference"/>
          <w:rFonts w:ascii="Calibri" w:hAnsi="Calibri"/>
          <w:lang w:val="en-US" w:eastAsia="en-US"/>
        </w:rPr>
        <w:commentReference w:id="13"/>
      </w:r>
      <w:r w:rsidR="00FC591C">
        <w:rPr>
          <w:rFonts w:ascii="Cambria" w:hAnsi="Cambria" w:cs="Tahoma"/>
          <w:lang w:val="sr-Latn-CS"/>
        </w:rPr>
        <w:t>.</w:t>
      </w:r>
    </w:p>
    <w:p w:rsidR="00FC591C" w:rsidRDefault="00FC591C" w:rsidP="00FC591C">
      <w:pPr>
        <w:pStyle w:val="ListParagraph"/>
        <w:rPr>
          <w:rFonts w:ascii="Cambria" w:hAnsi="Cambria" w:cs="Tahoma"/>
          <w:lang w:val="sr-Latn-CS"/>
        </w:rPr>
      </w:pPr>
    </w:p>
    <w:p w:rsidR="00751C27" w:rsidRDefault="00751C27" w:rsidP="0099100D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 xml:space="preserve">U okviru mjere </w:t>
      </w:r>
      <w:r w:rsidRPr="00525FB1">
        <w:rPr>
          <w:rFonts w:ascii="Cambria" w:hAnsi="Cambria" w:cs="Tahoma"/>
          <w:lang w:val="sr-Latn-CS"/>
        </w:rPr>
        <w:t>3.3.21 dod</w:t>
      </w:r>
      <w:r w:rsidR="00FC591C">
        <w:rPr>
          <w:rFonts w:ascii="Cambria" w:hAnsi="Cambria" w:cs="Tahoma"/>
          <w:lang w:val="sr-Latn-CS"/>
        </w:rPr>
        <w:t>ati donošenje podzakonskih akat</w:t>
      </w:r>
      <w:r w:rsidRPr="00525FB1">
        <w:rPr>
          <w:rFonts w:ascii="Cambria" w:hAnsi="Cambria" w:cs="Tahoma"/>
          <w:lang w:val="sr-Latn-CS"/>
        </w:rPr>
        <w:t xml:space="preserve">a kojima će se </w:t>
      </w:r>
      <w:r w:rsidR="00FC591C">
        <w:rPr>
          <w:rFonts w:ascii="Cambria" w:hAnsi="Cambria" w:cs="Tahoma"/>
          <w:lang w:val="sr-Latn-CS"/>
        </w:rPr>
        <w:t xml:space="preserve">urediti </w:t>
      </w:r>
      <w:r w:rsidRPr="00525FB1">
        <w:rPr>
          <w:rFonts w:ascii="Cambria" w:hAnsi="Cambria" w:cs="Tahoma"/>
          <w:lang w:val="sr-Latn-CS"/>
        </w:rPr>
        <w:t>postupak selekcije pravnih lica sa kojima će se zaključivati sporazumi o izvršavanju kazne rada u javnom interesu</w:t>
      </w:r>
      <w:r w:rsidR="0028701C">
        <w:rPr>
          <w:rFonts w:ascii="Cambria" w:hAnsi="Cambria" w:cs="Tahoma"/>
          <w:lang w:val="sr-Latn-CS"/>
        </w:rPr>
        <w:t xml:space="preserve">, kao alternativne </w:t>
      </w:r>
      <w:commentRangeStart w:id="14"/>
      <w:r w:rsidR="0028701C">
        <w:rPr>
          <w:rFonts w:ascii="Cambria" w:hAnsi="Cambria" w:cs="Tahoma"/>
          <w:lang w:val="sr-Latn-CS"/>
        </w:rPr>
        <w:t>sankcije</w:t>
      </w:r>
      <w:commentRangeEnd w:id="14"/>
      <w:r w:rsidR="006E7A1E">
        <w:rPr>
          <w:rStyle w:val="CommentReference"/>
          <w:rFonts w:ascii="Calibri" w:hAnsi="Calibri"/>
          <w:lang w:val="en-US" w:eastAsia="en-US"/>
        </w:rPr>
        <w:commentReference w:id="14"/>
      </w:r>
      <w:r w:rsidRPr="00525FB1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 xml:space="preserve">U okviru mjere </w:t>
      </w:r>
      <w:r w:rsidRPr="005F7BA6">
        <w:rPr>
          <w:rFonts w:ascii="Cambria" w:hAnsi="Cambria" w:cs="Tahoma"/>
          <w:lang w:val="sr-Latn-CS"/>
        </w:rPr>
        <w:t>3.3.27</w:t>
      </w:r>
      <w:r w:rsidR="0099100D">
        <w:rPr>
          <w:rFonts w:ascii="Cambria" w:hAnsi="Cambria" w:cs="Tahoma"/>
          <w:lang w:val="sr-Latn-CS"/>
        </w:rPr>
        <w:t>,</w:t>
      </w:r>
      <w:r w:rsidR="0028701C">
        <w:rPr>
          <w:rFonts w:ascii="Cambria" w:hAnsi="Cambria" w:cs="Tahoma"/>
          <w:lang w:val="sr-Latn-CS"/>
        </w:rPr>
        <w:t>izmjen</w:t>
      </w:r>
      <w:r w:rsidR="0099100D">
        <w:rPr>
          <w:rFonts w:ascii="Cambria" w:hAnsi="Cambria" w:cs="Tahoma"/>
          <w:lang w:val="sr-Latn-CS"/>
        </w:rPr>
        <w:t>iti</w:t>
      </w:r>
      <w:r w:rsidRPr="005F7BA6">
        <w:rPr>
          <w:rFonts w:ascii="Cambria" w:hAnsi="Cambria" w:cs="Tahoma"/>
          <w:lang w:val="sr-Latn-CS"/>
        </w:rPr>
        <w:t>Predlog strategije razvoje siste</w:t>
      </w:r>
      <w:r w:rsidR="0028701C">
        <w:rPr>
          <w:rFonts w:ascii="Cambria" w:hAnsi="Cambria" w:cs="Tahoma"/>
          <w:lang w:val="sr-Latn-CS"/>
        </w:rPr>
        <w:t>ma socijalne i dječije zaštite</w:t>
      </w:r>
      <w:commentRangeStart w:id="15"/>
      <w:r>
        <w:rPr>
          <w:rFonts w:ascii="Cambria" w:hAnsi="Cambria" w:cs="Tahoma"/>
          <w:lang w:val="sr-Latn-CS"/>
        </w:rPr>
        <w:t>.</w:t>
      </w:r>
      <w:r>
        <w:rPr>
          <w:rStyle w:val="FootnoteReference"/>
          <w:rFonts w:ascii="Cambria" w:hAnsi="Cambria" w:cs="Tahoma"/>
          <w:lang w:val="sr-Latn-CS"/>
        </w:rPr>
        <w:footnoteReference w:id="7"/>
      </w:r>
      <w:commentRangeEnd w:id="15"/>
      <w:r w:rsidR="006E7A1E">
        <w:rPr>
          <w:rStyle w:val="CommentReference"/>
          <w:rFonts w:ascii="Calibri" w:hAnsi="Calibri"/>
          <w:lang w:val="en-US" w:eastAsia="en-US"/>
        </w:rPr>
        <w:commentReference w:id="15"/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99100D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U</w:t>
      </w:r>
      <w:r w:rsidR="0028701C">
        <w:rPr>
          <w:rFonts w:ascii="Cambria" w:hAnsi="Cambria" w:cs="Tahoma"/>
          <w:lang w:val="sr-Latn-CS"/>
        </w:rPr>
        <w:t>potpuniti mjeru</w:t>
      </w:r>
      <w:r w:rsidR="00751C27" w:rsidRPr="002C62AB">
        <w:rPr>
          <w:rFonts w:ascii="Cambria" w:hAnsi="Cambria" w:cs="Tahoma"/>
          <w:lang w:val="sr-Latn-CS"/>
        </w:rPr>
        <w:t>3.3.29</w:t>
      </w:r>
      <w:r w:rsidR="0028701C">
        <w:rPr>
          <w:rFonts w:ascii="Cambria" w:hAnsi="Cambria" w:cs="Tahoma"/>
          <w:lang w:val="sr-Latn-CS"/>
        </w:rPr>
        <w:t xml:space="preserve"> u pravcu </w:t>
      </w:r>
      <w:r w:rsidR="00751C27">
        <w:rPr>
          <w:rFonts w:ascii="Cambria" w:hAnsi="Cambria" w:cs="Tahoma"/>
          <w:lang w:val="sr-Latn-CS"/>
        </w:rPr>
        <w:t>p</w:t>
      </w:r>
      <w:r w:rsidR="0028701C">
        <w:rPr>
          <w:rFonts w:ascii="Cambria" w:hAnsi="Cambria" w:cs="Tahoma"/>
          <w:lang w:val="sr-Latn-CS"/>
        </w:rPr>
        <w:t>ovećanja</w:t>
      </w:r>
      <w:r w:rsidR="00751C27" w:rsidRPr="002C62AB">
        <w:rPr>
          <w:rFonts w:ascii="Cambria" w:hAnsi="Cambria" w:cs="Tahoma"/>
          <w:lang w:val="sr-Latn-CS"/>
        </w:rPr>
        <w:t xml:space="preserve"> broj</w:t>
      </w:r>
      <w:r w:rsidR="0028701C">
        <w:rPr>
          <w:rFonts w:ascii="Cambria" w:hAnsi="Cambria" w:cs="Tahoma"/>
          <w:lang w:val="sr-Latn-CS"/>
        </w:rPr>
        <w:t>a njegovateljica, kao i urgentnog unaprijeđenja uslova</w:t>
      </w:r>
      <w:r w:rsidR="00751C27" w:rsidRPr="002C62AB">
        <w:rPr>
          <w:rFonts w:ascii="Cambria" w:hAnsi="Cambria" w:cs="Tahoma"/>
          <w:lang w:val="sr-Latn-CS"/>
        </w:rPr>
        <w:t xml:space="preserve"> za sprovođenje okupacione terapije i radnog tretmana, ob</w:t>
      </w:r>
      <w:r w:rsidR="00934BF7">
        <w:rPr>
          <w:rFonts w:ascii="Cambria" w:hAnsi="Cambria" w:cs="Tahoma"/>
          <w:lang w:val="sr-Latn-CS"/>
        </w:rPr>
        <w:t xml:space="preserve">zirom da preporuke </w:t>
      </w:r>
      <w:r>
        <w:rPr>
          <w:rFonts w:ascii="Cambria" w:hAnsi="Cambria" w:cs="Tahoma"/>
          <w:lang w:val="sr-Latn-CS"/>
        </w:rPr>
        <w:t xml:space="preserve">CPT </w:t>
      </w:r>
      <w:r w:rsidR="00934BF7">
        <w:rPr>
          <w:rFonts w:ascii="Cambria" w:hAnsi="Cambria" w:cs="Tahoma"/>
          <w:lang w:val="sr-Latn-CS"/>
        </w:rPr>
        <w:t>u tom pravcu</w:t>
      </w:r>
      <w:r w:rsidR="00751C27" w:rsidRPr="002C62AB">
        <w:rPr>
          <w:rFonts w:ascii="Cambria" w:hAnsi="Cambria" w:cs="Tahoma"/>
          <w:lang w:val="sr-Latn-CS"/>
        </w:rPr>
        <w:t xml:space="preserve"> nijesu ispunjene. Od posebnog značaja</w:t>
      </w:r>
      <w:r w:rsidR="00934BF7">
        <w:rPr>
          <w:rFonts w:ascii="Cambria" w:hAnsi="Cambria" w:cs="Tahoma"/>
          <w:lang w:val="sr-Latn-CS"/>
        </w:rPr>
        <w:t xml:space="preserve"> za ostvarenje ovih aktivnosti</w:t>
      </w:r>
      <w:r w:rsidR="00751C27" w:rsidRPr="002C62AB">
        <w:rPr>
          <w:rFonts w:ascii="Cambria" w:hAnsi="Cambria" w:cs="Tahoma"/>
          <w:lang w:val="sr-Latn-CS"/>
        </w:rPr>
        <w:t xml:space="preserve"> je </w:t>
      </w:r>
      <w:r w:rsidR="0028701C">
        <w:rPr>
          <w:rFonts w:ascii="Cambria" w:hAnsi="Cambria" w:cs="Tahoma"/>
          <w:lang w:val="sr-Latn-CS"/>
        </w:rPr>
        <w:t>saradnja sa</w:t>
      </w:r>
      <w:r w:rsidR="00751C27" w:rsidRPr="002C62AB">
        <w:rPr>
          <w:rFonts w:ascii="Cambria" w:hAnsi="Cambria" w:cs="Tahoma"/>
          <w:lang w:val="sr-Latn-CS"/>
        </w:rPr>
        <w:t xml:space="preserve"> stručnim licima</w:t>
      </w:r>
      <w:r w:rsidR="0028701C">
        <w:rPr>
          <w:rFonts w:ascii="Cambria" w:hAnsi="Cambria" w:cs="Tahoma"/>
          <w:lang w:val="sr-Latn-CS"/>
        </w:rPr>
        <w:t xml:space="preserve">, ali i medicinskim obrazovnim </w:t>
      </w:r>
      <w:commentRangeStart w:id="16"/>
      <w:r w:rsidR="0028701C">
        <w:rPr>
          <w:rFonts w:ascii="Cambria" w:hAnsi="Cambria" w:cs="Tahoma"/>
          <w:lang w:val="sr-Latn-CS"/>
        </w:rPr>
        <w:t>ustanovama</w:t>
      </w:r>
      <w:commentRangeEnd w:id="16"/>
      <w:r w:rsidR="00604180">
        <w:rPr>
          <w:rStyle w:val="CommentReference"/>
          <w:rFonts w:ascii="Calibri" w:hAnsi="Calibri"/>
          <w:lang w:val="en-US" w:eastAsia="en-US"/>
        </w:rPr>
        <w:commentReference w:id="16"/>
      </w:r>
      <w:r w:rsidR="0028701C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511475">
        <w:rPr>
          <w:rFonts w:ascii="Cambria" w:hAnsi="Cambria" w:cs="Tahoma"/>
          <w:lang w:val="sr-Latn-CS"/>
        </w:rPr>
        <w:lastRenderedPageBreak/>
        <w:t>U pogledu mjere 3.3.30</w:t>
      </w:r>
      <w:r w:rsidR="0099100D">
        <w:rPr>
          <w:rFonts w:ascii="Cambria" w:hAnsi="Cambria" w:cs="Tahoma"/>
          <w:lang w:val="sr-Latn-CS"/>
        </w:rPr>
        <w:t>,</w:t>
      </w:r>
      <w:r w:rsidRPr="00511475">
        <w:rPr>
          <w:rFonts w:ascii="Cambria" w:hAnsi="Cambria" w:cs="Tahoma"/>
          <w:lang w:val="sr-Latn-CS"/>
        </w:rPr>
        <w:t xml:space="preserve"> HRA ističe da je</w:t>
      </w:r>
      <w:r w:rsidR="00E3475E">
        <w:rPr>
          <w:rFonts w:ascii="Cambria" w:hAnsi="Cambria" w:cs="Tahoma"/>
          <w:lang w:val="sr-Latn-CS"/>
        </w:rPr>
        <w:t xml:space="preserve"> neophodno </w:t>
      </w:r>
      <w:r w:rsidR="0099100D">
        <w:rPr>
          <w:rFonts w:ascii="Cambria" w:hAnsi="Cambria" w:cs="Tahoma"/>
          <w:lang w:val="sr-Latn-CS"/>
        </w:rPr>
        <w:t>stimulisati</w:t>
      </w:r>
      <w:r w:rsidR="00E3475E">
        <w:rPr>
          <w:rFonts w:ascii="Cambria" w:hAnsi="Cambria" w:cs="Tahoma"/>
          <w:lang w:val="sr-Latn-CS"/>
        </w:rPr>
        <w:t xml:space="preserve"> na zaposlene, obzirom da napredak štićenika velikim dijelom zavisi od odnosa </w:t>
      </w:r>
      <w:commentRangeStart w:id="17"/>
      <w:r w:rsidR="00E3475E">
        <w:rPr>
          <w:rFonts w:ascii="Cambria" w:hAnsi="Cambria" w:cs="Tahoma"/>
          <w:lang w:val="sr-Latn-CS"/>
        </w:rPr>
        <w:t>zaposlenih</w:t>
      </w:r>
      <w:commentRangeEnd w:id="17"/>
      <w:r w:rsidR="00604180">
        <w:rPr>
          <w:rStyle w:val="CommentReference"/>
          <w:rFonts w:ascii="Calibri" w:hAnsi="Calibri"/>
          <w:lang w:val="en-US" w:eastAsia="en-US"/>
        </w:rPr>
        <w:commentReference w:id="17"/>
      </w:r>
      <w:r>
        <w:rPr>
          <w:rStyle w:val="FootnoteReference"/>
          <w:rFonts w:ascii="Cambria" w:hAnsi="Cambria" w:cs="Tahoma"/>
          <w:lang w:val="sr-Latn-CS"/>
        </w:rPr>
        <w:footnoteReference w:id="8"/>
      </w:r>
      <w:r w:rsidRPr="00511475">
        <w:rPr>
          <w:rFonts w:ascii="Cambria" w:hAnsi="Cambria" w:cs="Tahoma"/>
          <w:lang w:val="sr-Latn-CS"/>
        </w:rPr>
        <w:t xml:space="preserve">. 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E3475E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Kako individualni planovi predstavljaju osnov tretmana štićenika, u</w:t>
      </w:r>
      <w:r w:rsidR="00751C27">
        <w:rPr>
          <w:rFonts w:ascii="Cambria" w:hAnsi="Cambria" w:cs="Tahoma"/>
          <w:lang w:val="sr-Latn-CS"/>
        </w:rPr>
        <w:t xml:space="preserve"> okviru mjere 3.3.31 </w:t>
      </w:r>
      <w:r w:rsidR="00751C27" w:rsidRPr="00511475">
        <w:rPr>
          <w:rFonts w:ascii="Cambria" w:hAnsi="Cambria" w:cs="Tahoma"/>
          <w:lang w:val="sr-Latn-CS"/>
        </w:rPr>
        <w:t>potrebno</w:t>
      </w:r>
      <w:r>
        <w:rPr>
          <w:rFonts w:ascii="Cambria" w:hAnsi="Cambria" w:cs="Tahoma"/>
          <w:lang w:val="sr-Latn-CS"/>
        </w:rPr>
        <w:t xml:space="preserve"> je</w:t>
      </w:r>
      <w:r w:rsidR="00751C27" w:rsidRPr="00511475">
        <w:rPr>
          <w:rFonts w:ascii="Cambria" w:hAnsi="Cambria" w:cs="Tahoma"/>
          <w:lang w:val="sr-Latn-CS"/>
        </w:rPr>
        <w:t xml:space="preserve"> osnovati nezavisno tijelo koje će pratiti rad Zavoda, ali i omogućiti veće uključivanje samih štićenika i njihovih roditelja tj. staratelja u rad </w:t>
      </w:r>
      <w:commentRangeStart w:id="18"/>
      <w:r w:rsidR="00751C27" w:rsidRPr="00511475">
        <w:rPr>
          <w:rFonts w:ascii="Cambria" w:hAnsi="Cambria" w:cs="Tahoma"/>
          <w:lang w:val="sr-Latn-CS"/>
        </w:rPr>
        <w:t>ustanove</w:t>
      </w:r>
      <w:commentRangeEnd w:id="18"/>
      <w:r w:rsidR="00604180">
        <w:rPr>
          <w:rStyle w:val="CommentReference"/>
          <w:rFonts w:ascii="Calibri" w:hAnsi="Calibri"/>
          <w:lang w:val="en-US" w:eastAsia="en-US"/>
        </w:rPr>
        <w:commentReference w:id="18"/>
      </w:r>
      <w:r w:rsidR="00751C27">
        <w:rPr>
          <w:rStyle w:val="FootnoteReference"/>
          <w:rFonts w:ascii="Cambria" w:hAnsi="Cambria" w:cs="Tahoma"/>
          <w:lang w:val="sr-Latn-CS"/>
        </w:rPr>
        <w:footnoteReference w:id="9"/>
      </w:r>
      <w:r w:rsidR="00751C27" w:rsidRPr="00511475">
        <w:rPr>
          <w:rFonts w:ascii="Cambria" w:hAnsi="Cambria" w:cs="Tahoma"/>
          <w:lang w:val="sr-Latn-CS"/>
        </w:rPr>
        <w:t xml:space="preserve">. 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E3475E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 xml:space="preserve">3.3.32 - </w:t>
      </w:r>
      <w:r w:rsidR="00751C27" w:rsidRPr="00511475">
        <w:rPr>
          <w:rFonts w:ascii="Cambria" w:hAnsi="Cambria" w:cs="Tahoma"/>
          <w:lang w:val="sr-Latn-CS"/>
        </w:rPr>
        <w:t>naglašavamo da dosadašnji napori Vlade na izgradnji sistema socijalne podrške odnose samo na djecu, a ne i na odrasla lica sa intelektualnim invaliditetom.</w:t>
      </w:r>
      <w:r>
        <w:rPr>
          <w:rFonts w:ascii="Cambria" w:hAnsi="Cambria" w:cs="Tahoma"/>
          <w:lang w:val="sr-Latn-CS"/>
        </w:rPr>
        <w:t xml:space="preserve"> U tom pravcu neophodna su dodatna </w:t>
      </w:r>
      <w:commentRangeStart w:id="19"/>
      <w:r>
        <w:rPr>
          <w:rFonts w:ascii="Cambria" w:hAnsi="Cambria" w:cs="Tahoma"/>
          <w:lang w:val="sr-Latn-CS"/>
        </w:rPr>
        <w:t>zalaganja</w:t>
      </w:r>
      <w:commentRangeEnd w:id="19"/>
      <w:r w:rsidR="0072259C">
        <w:rPr>
          <w:rStyle w:val="CommentReference"/>
          <w:rFonts w:ascii="Calibri" w:hAnsi="Calibri"/>
          <w:lang w:val="en-US" w:eastAsia="en-US"/>
        </w:rPr>
        <w:commentReference w:id="19"/>
      </w:r>
      <w:r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 xml:space="preserve">U okviru mjere </w:t>
      </w:r>
      <w:r w:rsidRPr="00030740">
        <w:rPr>
          <w:rFonts w:ascii="Cambria" w:hAnsi="Cambria" w:cs="Tahoma"/>
          <w:lang w:val="sr-Latn-CS"/>
        </w:rPr>
        <w:t xml:space="preserve">3.3.35 </w:t>
      </w:r>
      <w:r>
        <w:rPr>
          <w:rFonts w:ascii="Cambria" w:hAnsi="Cambria" w:cs="Tahoma"/>
          <w:lang w:val="sr-Latn-CS"/>
        </w:rPr>
        <w:t xml:space="preserve">HRA </w:t>
      </w:r>
      <w:r w:rsidR="00E3475E">
        <w:rPr>
          <w:rFonts w:ascii="Cambria" w:hAnsi="Cambria" w:cs="Tahoma"/>
          <w:lang w:val="sr-Latn-CS"/>
        </w:rPr>
        <w:t xml:space="preserve">smatra </w:t>
      </w:r>
      <w:r>
        <w:rPr>
          <w:rFonts w:ascii="Cambria" w:hAnsi="Cambria" w:cs="Tahoma"/>
          <w:lang w:val="sr-Latn-CS"/>
        </w:rPr>
        <w:t>da bi poštovanju</w:t>
      </w:r>
      <w:r w:rsidRPr="00030740">
        <w:rPr>
          <w:rFonts w:ascii="Cambria" w:hAnsi="Cambria" w:cs="Tahoma"/>
          <w:lang w:val="sr-Latn-CS"/>
        </w:rPr>
        <w:t xml:space="preserve"> prava</w:t>
      </w:r>
      <w:r w:rsidR="00E3475E">
        <w:rPr>
          <w:rFonts w:ascii="Cambria" w:hAnsi="Cambria" w:cs="Tahoma"/>
          <w:lang w:val="sr-Latn-CS"/>
        </w:rPr>
        <w:t xml:space="preserve"> pacijenata dodatno doprinio neposredni uvid </w:t>
      </w:r>
      <w:r w:rsidR="00E3475E" w:rsidRPr="00030740">
        <w:rPr>
          <w:rFonts w:ascii="Cambria" w:hAnsi="Cambria" w:cs="Tahoma"/>
          <w:lang w:val="sr-Latn-CS"/>
        </w:rPr>
        <w:t>Zaštitnik</w:t>
      </w:r>
      <w:r w:rsidR="00E3475E">
        <w:rPr>
          <w:rFonts w:ascii="Cambria" w:hAnsi="Cambria" w:cs="Tahoma"/>
          <w:lang w:val="sr-Latn-CS"/>
        </w:rPr>
        <w:t>a</w:t>
      </w:r>
      <w:r w:rsidR="00E3475E" w:rsidRPr="00030740">
        <w:rPr>
          <w:rFonts w:ascii="Cambria" w:hAnsi="Cambria" w:cs="Tahoma"/>
          <w:lang w:val="sr-Latn-CS"/>
        </w:rPr>
        <w:t xml:space="preserve"> ljudskih prava i sloboda</w:t>
      </w:r>
      <w:r w:rsidRPr="00030740">
        <w:rPr>
          <w:rFonts w:ascii="Cambria" w:hAnsi="Cambria" w:cs="Tahoma"/>
          <w:lang w:val="sr-Latn-CS"/>
        </w:rPr>
        <w:t xml:space="preserve">, kako je predlagao i </w:t>
      </w:r>
      <w:commentRangeStart w:id="20"/>
      <w:r w:rsidRPr="00030740">
        <w:rPr>
          <w:rFonts w:ascii="Cambria" w:hAnsi="Cambria" w:cs="Tahoma"/>
          <w:lang w:val="sr-Latn-CS"/>
        </w:rPr>
        <w:t>CPT</w:t>
      </w:r>
      <w:commentRangeEnd w:id="20"/>
      <w:r w:rsidR="00775897">
        <w:rPr>
          <w:rStyle w:val="CommentReference"/>
          <w:rFonts w:ascii="Calibri" w:hAnsi="Calibri"/>
          <w:lang w:val="en-US" w:eastAsia="en-US"/>
        </w:rPr>
        <w:commentReference w:id="20"/>
      </w:r>
      <w:r w:rsidRPr="00030740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E3475E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>
        <w:rPr>
          <w:rFonts w:ascii="Cambria" w:hAnsi="Cambria" w:cs="Tahoma"/>
          <w:lang w:val="sr-Latn-CS"/>
        </w:rPr>
        <w:t>U pogledu kampanja predviđenih mjerom</w:t>
      </w:r>
      <w:r w:rsidR="00751C27" w:rsidRPr="00030740">
        <w:rPr>
          <w:rFonts w:ascii="Cambria" w:hAnsi="Cambria" w:cs="Tahoma"/>
          <w:lang w:val="sr-Latn-CS"/>
        </w:rPr>
        <w:t xml:space="preserve">3.3.38 </w:t>
      </w:r>
      <w:r>
        <w:rPr>
          <w:rFonts w:ascii="Cambria" w:hAnsi="Cambria" w:cs="Tahoma"/>
          <w:lang w:val="sr-Latn-CS"/>
        </w:rPr>
        <w:t>HRA ističe da iste</w:t>
      </w:r>
      <w:r w:rsidR="00751C27" w:rsidRPr="00030740">
        <w:rPr>
          <w:rFonts w:ascii="Cambria" w:hAnsi="Cambria" w:cs="Tahoma"/>
          <w:lang w:val="sr-Latn-CS"/>
        </w:rPr>
        <w:t xml:space="preserve"> trebaju biti upravljene </w:t>
      </w:r>
      <w:r>
        <w:rPr>
          <w:rFonts w:ascii="Cambria" w:hAnsi="Cambria" w:cs="Tahoma"/>
          <w:lang w:val="sr-Latn-CS"/>
        </w:rPr>
        <w:t xml:space="preserve">kako na rješavanje </w:t>
      </w:r>
      <w:r w:rsidR="00751C27" w:rsidRPr="00030740">
        <w:rPr>
          <w:rFonts w:ascii="Cambria" w:hAnsi="Cambria" w:cs="Tahoma"/>
          <w:lang w:val="sr-Latn-CS"/>
        </w:rPr>
        <w:t>problema nedostatka bolničkog osoblja</w:t>
      </w:r>
      <w:r w:rsidR="0099100D">
        <w:rPr>
          <w:rFonts w:ascii="Cambria" w:hAnsi="Cambria" w:cs="Tahoma"/>
          <w:lang w:val="sr-Latn-CS"/>
        </w:rPr>
        <w:t xml:space="preserve"> – stimulisanje za rad u Specijalnoj bolnici u Kotoru, </w:t>
      </w:r>
      <w:r w:rsidR="00751C27" w:rsidRPr="00030740">
        <w:rPr>
          <w:rFonts w:ascii="Cambria" w:hAnsi="Cambria" w:cs="Tahoma"/>
          <w:lang w:val="sr-Latn-CS"/>
        </w:rPr>
        <w:t>tako i na stimulisanje postojećeg osoblja</w:t>
      </w:r>
      <w:r w:rsidR="0099100D">
        <w:rPr>
          <w:rFonts w:ascii="Cambria" w:hAnsi="Cambria" w:cs="Tahoma"/>
          <w:lang w:val="sr-Latn-CS"/>
        </w:rPr>
        <w:t>, za</w:t>
      </w:r>
      <w:r>
        <w:rPr>
          <w:rFonts w:ascii="Cambria" w:hAnsi="Cambria" w:cs="Tahoma"/>
          <w:lang w:val="sr-Latn-CS"/>
        </w:rPr>
        <w:t xml:space="preserve"> aktivan rad sa</w:t>
      </w:r>
      <w:commentRangeStart w:id="21"/>
      <w:r w:rsidR="00751C27" w:rsidRPr="00030740">
        <w:rPr>
          <w:rFonts w:ascii="Cambria" w:hAnsi="Cambria" w:cs="Tahoma"/>
          <w:lang w:val="sr-Latn-CS"/>
        </w:rPr>
        <w:t>pacijentima</w:t>
      </w:r>
      <w:commentRangeEnd w:id="21"/>
      <w:r w:rsidR="00775897">
        <w:rPr>
          <w:rStyle w:val="CommentReference"/>
          <w:rFonts w:ascii="Calibri" w:hAnsi="Calibri"/>
          <w:lang w:val="en-US" w:eastAsia="en-US"/>
        </w:rPr>
        <w:commentReference w:id="21"/>
      </w:r>
      <w:r w:rsidR="00751C27" w:rsidRPr="00030740">
        <w:rPr>
          <w:rFonts w:ascii="Cambria" w:hAnsi="Cambria" w:cs="Tahoma"/>
          <w:lang w:val="sr-Latn-CS"/>
        </w:rPr>
        <w:t>.</w:t>
      </w:r>
    </w:p>
    <w:p w:rsidR="00751C27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Pr="002A0513" w:rsidRDefault="00751C27" w:rsidP="00751C27">
      <w:pPr>
        <w:numPr>
          <w:ilvl w:val="0"/>
          <w:numId w:val="35"/>
        </w:numPr>
        <w:jc w:val="both"/>
        <w:rPr>
          <w:rFonts w:ascii="Cambria" w:hAnsi="Cambria" w:cs="Tahoma"/>
          <w:lang w:val="sr-Latn-CS"/>
        </w:rPr>
      </w:pPr>
      <w:r w:rsidRPr="002A0513">
        <w:rPr>
          <w:rFonts w:ascii="Cambria" w:hAnsi="Cambria" w:cs="Tahoma"/>
          <w:lang w:val="sr-Latn-CS"/>
        </w:rPr>
        <w:t>U okviru preporuke 3.4.</w:t>
      </w:r>
      <w:r w:rsidR="00DA35C0">
        <w:rPr>
          <w:rFonts w:ascii="Cambria" w:hAnsi="Cambria" w:cs="Tahoma"/>
          <w:lang w:val="sr-Latn-CS"/>
        </w:rPr>
        <w:t xml:space="preserve"> još jednomnaglašavamo </w:t>
      </w:r>
      <w:r w:rsidRPr="00C53939">
        <w:rPr>
          <w:rFonts w:ascii="Cambria" w:hAnsi="Cambria"/>
          <w:kern w:val="36"/>
        </w:rPr>
        <w:t xml:space="preserve">da </w:t>
      </w:r>
      <w:r w:rsidRPr="00C53939">
        <w:rPr>
          <w:rFonts w:ascii="Cambria" w:hAnsi="Cambria"/>
        </w:rPr>
        <w:t xml:space="preserve">među prioritetima rada policije i tužilaštva </w:t>
      </w:r>
      <w:r w:rsidR="0099100D">
        <w:rPr>
          <w:rFonts w:ascii="Cambria" w:hAnsi="Cambria"/>
        </w:rPr>
        <w:t>mora</w:t>
      </w:r>
      <w:r w:rsidRPr="00C53939">
        <w:rPr>
          <w:rFonts w:ascii="Cambria" w:hAnsi="Cambria"/>
        </w:rPr>
        <w:t xml:space="preserve"> biti rasvjetljavanje i procesuiranje svih slučajeva napada na novinare i medije, i to ne samo izvršioce već i nalogodavce, posebno imajući u vidu da</w:t>
      </w:r>
      <w:r w:rsidR="0099100D">
        <w:rPr>
          <w:rFonts w:ascii="Cambria" w:hAnsi="Cambria"/>
        </w:rPr>
        <w:t xml:space="preserve"> su</w:t>
      </w:r>
      <w:r w:rsidRPr="00C53939">
        <w:rPr>
          <w:rFonts w:ascii="Cambria" w:hAnsi="Cambria"/>
        </w:rPr>
        <w:t xml:space="preserve"> istrage u pojedinim sluč</w:t>
      </w:r>
      <w:r>
        <w:rPr>
          <w:rFonts w:ascii="Cambria" w:hAnsi="Cambria"/>
        </w:rPr>
        <w:t xml:space="preserve">ajevima </w:t>
      </w:r>
      <w:r w:rsidR="0099100D">
        <w:rPr>
          <w:rFonts w:ascii="Cambria" w:hAnsi="Cambria"/>
        </w:rPr>
        <w:t xml:space="preserve">vjerovatno već i zastarjele i da </w:t>
      </w:r>
      <w:r w:rsidRPr="00C53939">
        <w:rPr>
          <w:rFonts w:ascii="Cambria" w:hAnsi="Cambria"/>
        </w:rPr>
        <w:t>godinama</w:t>
      </w:r>
      <w:r w:rsidRPr="00C53939">
        <w:rPr>
          <w:rFonts w:ascii="Cambria" w:hAnsi="Cambria"/>
          <w:kern w:val="36"/>
        </w:rPr>
        <w:t xml:space="preserve"> nijesu otkrile nove činjenice o krivičnom djelu ili </w:t>
      </w:r>
      <w:commentRangeStart w:id="22"/>
      <w:r w:rsidRPr="00C53939">
        <w:rPr>
          <w:rFonts w:ascii="Cambria" w:hAnsi="Cambria"/>
          <w:kern w:val="36"/>
        </w:rPr>
        <w:t>učiniocu</w:t>
      </w:r>
      <w:commentRangeEnd w:id="22"/>
      <w:r w:rsidR="00CB4E65">
        <w:rPr>
          <w:rStyle w:val="CommentReference"/>
          <w:rFonts w:ascii="Calibri" w:hAnsi="Calibri"/>
          <w:lang w:val="en-US" w:eastAsia="en-US"/>
        </w:rPr>
        <w:commentReference w:id="22"/>
      </w:r>
      <w:r w:rsidRPr="00C53939">
        <w:rPr>
          <w:rFonts w:ascii="Cambria" w:hAnsi="Cambria"/>
          <w:kern w:val="36"/>
        </w:rPr>
        <w:t>.</w:t>
      </w:r>
      <w:r>
        <w:rPr>
          <w:rStyle w:val="FootnoteReference"/>
          <w:rFonts w:ascii="Cambria" w:hAnsi="Cambria"/>
          <w:kern w:val="36"/>
        </w:rPr>
        <w:footnoteReference w:id="10"/>
      </w:r>
    </w:p>
    <w:p w:rsidR="00751C27" w:rsidRPr="002A0513" w:rsidRDefault="00751C27" w:rsidP="00751C27">
      <w:pPr>
        <w:pStyle w:val="ColorfulList-Accent11"/>
        <w:rPr>
          <w:rFonts w:ascii="Cambria" w:hAnsi="Cambria" w:cs="Tahoma"/>
          <w:lang w:val="sr-Latn-CS"/>
        </w:rPr>
      </w:pPr>
    </w:p>
    <w:p w:rsidR="00751C27" w:rsidRDefault="00751C27" w:rsidP="00DA35C0">
      <w:pPr>
        <w:numPr>
          <w:ilvl w:val="0"/>
          <w:numId w:val="35"/>
        </w:numPr>
        <w:jc w:val="both"/>
        <w:rPr>
          <w:rFonts w:ascii="Cambria" w:hAnsi="Cambria"/>
        </w:rPr>
      </w:pPr>
      <w:r w:rsidRPr="00DA35C0">
        <w:rPr>
          <w:rFonts w:ascii="Cambria" w:hAnsi="Cambria" w:cs="Tahoma"/>
          <w:lang w:val="sr-Latn-CS"/>
        </w:rPr>
        <w:t xml:space="preserve">U okviru mjere 3.4.1. HRA ističe da u cilju preventivne zaštite i sprječavanja napada na novinare prilikom obavljanja profesionalnih zadataka, odnosno obezbijeđivanja njihove pojačane zaštite prilikom obavljanja djelatnosti obavještavanja javnosti, koja je od posebnog javnog interesa, </w:t>
      </w:r>
      <w:r w:rsidR="0099100D">
        <w:rPr>
          <w:rFonts w:ascii="Cambria" w:hAnsi="Cambria" w:cs="Tahoma"/>
          <w:lang w:val="sr-Latn-CS"/>
        </w:rPr>
        <w:t>trebadopuniti</w:t>
      </w:r>
      <w:r w:rsidR="00DA35C0" w:rsidRPr="00DA35C0">
        <w:rPr>
          <w:rFonts w:ascii="Cambria" w:hAnsi="Cambria" w:cs="Tahoma"/>
          <w:lang w:val="sr-Latn-CS"/>
        </w:rPr>
        <w:t>Krivični zakonik propisivanj</w:t>
      </w:r>
      <w:r w:rsidR="0099100D">
        <w:rPr>
          <w:rFonts w:ascii="Cambria" w:hAnsi="Cambria" w:cs="Tahoma"/>
          <w:lang w:val="sr-Latn-CS"/>
        </w:rPr>
        <w:t>em</w:t>
      </w:r>
      <w:r w:rsidRPr="00DA35C0">
        <w:rPr>
          <w:rFonts w:ascii="Cambria" w:eastAsia="Calibri" w:hAnsi="Cambria" w:cs="Arial"/>
          <w:lang w:eastAsia="en-US"/>
        </w:rPr>
        <w:t>novih krivičnih dijela</w:t>
      </w:r>
      <w:r w:rsidR="0099100D">
        <w:rPr>
          <w:rFonts w:ascii="Cambria" w:eastAsia="Calibri" w:hAnsi="Cambria" w:cs="Arial"/>
          <w:lang w:eastAsia="en-US"/>
        </w:rPr>
        <w:t xml:space="preserve"> u culju zaštite novinara po uzoru na zaštitu službenih lica. Takođe, u vilju unapređenja slobode izražavanja,</w:t>
      </w:r>
      <w:r w:rsidR="00DA35C0" w:rsidRPr="002A0513">
        <w:rPr>
          <w:rFonts w:ascii="Cambria" w:hAnsi="Cambria"/>
        </w:rPr>
        <w:t>dekriminaliz</w:t>
      </w:r>
      <w:r w:rsidR="0099100D">
        <w:rPr>
          <w:rFonts w:ascii="Cambria" w:hAnsi="Cambria"/>
        </w:rPr>
        <w:t>ovati</w:t>
      </w:r>
      <w:r w:rsidR="00DA35C0" w:rsidRPr="002A0513">
        <w:rPr>
          <w:rFonts w:ascii="Cambria" w:hAnsi="Cambria"/>
        </w:rPr>
        <w:t xml:space="preserve"> i sv</w:t>
      </w:r>
      <w:r w:rsidR="0099100D">
        <w:rPr>
          <w:rFonts w:ascii="Cambria" w:hAnsi="Cambria"/>
        </w:rPr>
        <w:t>apreostala</w:t>
      </w:r>
      <w:r w:rsidR="00DA35C0" w:rsidRPr="002A0513">
        <w:rPr>
          <w:rFonts w:ascii="Cambria" w:hAnsi="Cambria"/>
        </w:rPr>
        <w:t xml:space="preserve"> krivičn</w:t>
      </w:r>
      <w:r w:rsidR="0099100D">
        <w:rPr>
          <w:rFonts w:ascii="Cambria" w:hAnsi="Cambria"/>
        </w:rPr>
        <w:t>a</w:t>
      </w:r>
      <w:r w:rsidR="00DA35C0" w:rsidRPr="002A0513">
        <w:rPr>
          <w:rFonts w:ascii="Cambria" w:hAnsi="Cambria"/>
        </w:rPr>
        <w:t xml:space="preserve"> djela iz glave XVII KZ CG</w:t>
      </w:r>
      <w:r w:rsidR="00DA35C0">
        <w:rPr>
          <w:rFonts w:ascii="Cambria" w:hAnsi="Cambria"/>
        </w:rPr>
        <w:t xml:space="preserve">, po ugledu na </w:t>
      </w:r>
      <w:r w:rsidRPr="002A0513">
        <w:rPr>
          <w:rFonts w:ascii="Cambria" w:hAnsi="Cambria"/>
        </w:rPr>
        <w:t>dekriminalizacij</w:t>
      </w:r>
      <w:r w:rsidR="0099100D">
        <w:rPr>
          <w:rFonts w:ascii="Cambria" w:hAnsi="Cambria"/>
        </w:rPr>
        <w:t>u</w:t>
      </w:r>
      <w:r w:rsidRPr="002A0513">
        <w:rPr>
          <w:rFonts w:ascii="Cambria" w:hAnsi="Cambria"/>
        </w:rPr>
        <w:t xml:space="preserve"> Uvred</w:t>
      </w:r>
      <w:r w:rsidR="0099100D">
        <w:rPr>
          <w:rFonts w:ascii="Cambria" w:hAnsi="Cambria"/>
        </w:rPr>
        <w:t>e</w:t>
      </w:r>
      <w:r w:rsidRPr="002A0513">
        <w:rPr>
          <w:rFonts w:ascii="Cambria" w:hAnsi="Cambria"/>
        </w:rPr>
        <w:t xml:space="preserve"> i </w:t>
      </w:r>
      <w:commentRangeStart w:id="23"/>
      <w:r w:rsidRPr="002A0513">
        <w:rPr>
          <w:rFonts w:ascii="Cambria" w:hAnsi="Cambria"/>
        </w:rPr>
        <w:t>Klevet</w:t>
      </w:r>
      <w:r w:rsidR="0099100D">
        <w:rPr>
          <w:rFonts w:ascii="Cambria" w:hAnsi="Cambria"/>
        </w:rPr>
        <w:t>e</w:t>
      </w:r>
      <w:commentRangeEnd w:id="23"/>
      <w:r w:rsidR="00EB3C97">
        <w:rPr>
          <w:rStyle w:val="CommentReference"/>
          <w:rFonts w:ascii="Calibri" w:hAnsi="Calibri"/>
          <w:lang w:val="en-US" w:eastAsia="en-US"/>
        </w:rPr>
        <w:commentReference w:id="23"/>
      </w:r>
      <w:r w:rsidR="00DA35C0">
        <w:rPr>
          <w:rFonts w:ascii="Cambria" w:hAnsi="Cambria"/>
        </w:rPr>
        <w:t>.</w:t>
      </w:r>
      <w:r w:rsidRPr="002A0513">
        <w:rPr>
          <w:rStyle w:val="FootnoteReference"/>
          <w:rFonts w:ascii="Cambria" w:hAnsi="Cambria"/>
        </w:rPr>
        <w:footnoteReference w:id="11"/>
      </w:r>
    </w:p>
    <w:p w:rsidR="00751C27" w:rsidRPr="002A0513" w:rsidRDefault="00751C27" w:rsidP="00751C27">
      <w:pPr>
        <w:ind w:left="720"/>
        <w:jc w:val="both"/>
        <w:rPr>
          <w:rFonts w:ascii="Cambria" w:hAnsi="Cambria"/>
        </w:rPr>
      </w:pPr>
    </w:p>
    <w:p w:rsidR="00751C27" w:rsidRPr="002A0513" w:rsidRDefault="00DA35C0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U okviru</w:t>
      </w:r>
      <w:r w:rsidR="00934BF7">
        <w:rPr>
          <w:rFonts w:ascii="Cambria" w:hAnsi="Cambria"/>
        </w:rPr>
        <w:t xml:space="preserve"> mjere 3.4.2, </w:t>
      </w:r>
      <w:r w:rsidR="00751C27" w:rsidRPr="002A0513">
        <w:rPr>
          <w:rFonts w:ascii="Cambria" w:hAnsi="Cambria"/>
        </w:rPr>
        <w:t>predvidjeti da se</w:t>
      </w:r>
      <w:r>
        <w:rPr>
          <w:rFonts w:ascii="Cambria" w:hAnsi="Cambria"/>
        </w:rPr>
        <w:t xml:space="preserve"> pored izvještaja</w:t>
      </w:r>
      <w:r w:rsidR="00751C27" w:rsidRPr="002A0513">
        <w:rPr>
          <w:rFonts w:ascii="Cambria" w:hAnsi="Cambria"/>
        </w:rPr>
        <w:t xml:space="preserve"> o istragama i nasil</w:t>
      </w:r>
      <w:r>
        <w:rPr>
          <w:rFonts w:ascii="Cambria" w:hAnsi="Cambria"/>
        </w:rPr>
        <w:t xml:space="preserve">ju protiv novinara </w:t>
      </w:r>
      <w:r w:rsidR="00751C27">
        <w:rPr>
          <w:rFonts w:ascii="Cambria" w:hAnsi="Cambria"/>
        </w:rPr>
        <w:t>o</w:t>
      </w:r>
      <w:r>
        <w:rPr>
          <w:rFonts w:ascii="Cambria" w:hAnsi="Cambria"/>
        </w:rPr>
        <w:t xml:space="preserve">bjavljuju i u tim predmetima donijete </w:t>
      </w:r>
      <w:commentRangeStart w:id="24"/>
      <w:r>
        <w:rPr>
          <w:rFonts w:ascii="Cambria" w:hAnsi="Cambria"/>
        </w:rPr>
        <w:t>odluke</w:t>
      </w:r>
      <w:commentRangeEnd w:id="24"/>
      <w:r w:rsidR="00F42BE4">
        <w:rPr>
          <w:rStyle w:val="CommentReference"/>
          <w:rFonts w:ascii="Calibri" w:hAnsi="Calibri"/>
          <w:lang w:val="en-US" w:eastAsia="en-US"/>
        </w:rPr>
        <w:commentReference w:id="24"/>
      </w:r>
      <w:r w:rsidR="00751C27">
        <w:rPr>
          <w:rFonts w:ascii="Cambria" w:hAnsi="Cambria"/>
        </w:rPr>
        <w:t>.</w:t>
      </w:r>
    </w:p>
    <w:p w:rsidR="00751C27" w:rsidRPr="002A0513" w:rsidRDefault="00751C27" w:rsidP="00633C71">
      <w:pPr>
        <w:pStyle w:val="ColorfulList-Accent11"/>
        <w:ind w:left="0"/>
        <w:rPr>
          <w:rFonts w:ascii="Cambria" w:hAnsi="Cambria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2A0513">
        <w:rPr>
          <w:rFonts w:ascii="Cambria" w:hAnsi="Cambria"/>
        </w:rPr>
        <w:t>U okviru mjere 3.4.5. ističemo da  je NVO A</w:t>
      </w:r>
      <w:r w:rsidR="00DA35C0">
        <w:rPr>
          <w:rFonts w:ascii="Cambria" w:hAnsi="Cambria"/>
        </w:rPr>
        <w:t>kcija za ljudska prava sprovela</w:t>
      </w:r>
      <w:r w:rsidRPr="002A0513">
        <w:rPr>
          <w:rFonts w:ascii="Cambria" w:hAnsi="Cambria"/>
        </w:rPr>
        <w:t xml:space="preserve"> projekat "Monitoring novinarskih samoregulatornih tijela u Crnoj Gori". U okviru ovog projekta, u cilju podsticanja objektivne primjene Kodeksa etike novinara CG objavili smo i prvi izvještaj</w:t>
      </w:r>
      <w:r w:rsidRPr="002A0513">
        <w:rPr>
          <w:rStyle w:val="FootnoteReference"/>
          <w:rFonts w:ascii="Cambria" w:hAnsi="Cambria"/>
        </w:rPr>
        <w:footnoteReference w:id="12"/>
      </w:r>
      <w:r w:rsidRPr="002A0513">
        <w:rPr>
          <w:rFonts w:ascii="Cambria" w:hAnsi="Cambria"/>
        </w:rPr>
        <w:t xml:space="preserve">, </w:t>
      </w:r>
      <w:r w:rsidRPr="00497290">
        <w:rPr>
          <w:rFonts w:ascii="Cambria" w:hAnsi="Cambria"/>
        </w:rPr>
        <w:t xml:space="preserve">organizovali radionice za urednike i novinare crnogorskih medija </w:t>
      </w:r>
      <w:r w:rsidR="00DA35C0">
        <w:rPr>
          <w:rFonts w:ascii="Cambria" w:hAnsi="Cambria"/>
        </w:rPr>
        <w:t>a</w:t>
      </w:r>
      <w:r w:rsidRPr="002A0513">
        <w:rPr>
          <w:rFonts w:ascii="Cambria" w:hAnsi="Cambria"/>
        </w:rPr>
        <w:t xml:space="preserve"> u pripremi je priručnik za novina</w:t>
      </w:r>
      <w:r w:rsidR="00DA35C0">
        <w:rPr>
          <w:rFonts w:ascii="Cambria" w:hAnsi="Cambria"/>
        </w:rPr>
        <w:t xml:space="preserve">re "Ka odgovornom novinarstvu". Iskazujemo podršku i spremnost za izvršenje </w:t>
      </w:r>
      <w:r w:rsidR="00FA2E1A">
        <w:rPr>
          <w:rFonts w:ascii="Cambria" w:hAnsi="Cambria"/>
        </w:rPr>
        <w:t xml:space="preserve">i drugih projekata ovog </w:t>
      </w:r>
      <w:commentRangeStart w:id="25"/>
      <w:r w:rsidR="00FA2E1A">
        <w:rPr>
          <w:rFonts w:ascii="Cambria" w:hAnsi="Cambria"/>
        </w:rPr>
        <w:t>tipa</w:t>
      </w:r>
      <w:commentRangeEnd w:id="25"/>
      <w:r w:rsidR="0072259C">
        <w:rPr>
          <w:rStyle w:val="CommentReference"/>
          <w:rFonts w:ascii="Calibri" w:hAnsi="Calibri"/>
          <w:lang w:val="en-US" w:eastAsia="en-US"/>
        </w:rPr>
        <w:commentReference w:id="25"/>
      </w:r>
      <w:r w:rsidR="00FA2E1A">
        <w:rPr>
          <w:rFonts w:ascii="Cambria" w:hAnsi="Cambria"/>
        </w:rPr>
        <w:t>.</w:t>
      </w:r>
    </w:p>
    <w:p w:rsidR="00751C27" w:rsidRDefault="00751C27" w:rsidP="00751C27">
      <w:pPr>
        <w:pStyle w:val="ColorfulList-Accent11"/>
        <w:rPr>
          <w:rFonts w:ascii="Cambria" w:hAnsi="Cambria"/>
        </w:rPr>
      </w:pPr>
    </w:p>
    <w:p w:rsidR="00751C27" w:rsidRDefault="00FA2E1A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U odnosu na mjeru</w:t>
      </w:r>
      <w:r w:rsidR="00751C27" w:rsidRPr="00065F91">
        <w:rPr>
          <w:rFonts w:ascii="Cambria" w:hAnsi="Cambria"/>
        </w:rPr>
        <w:t xml:space="preserve"> 3.4.6</w:t>
      </w:r>
      <w:r>
        <w:rPr>
          <w:rFonts w:ascii="Cambria" w:hAnsi="Cambria"/>
        </w:rPr>
        <w:t xml:space="preserve"> HRA poziva da se </w:t>
      </w:r>
      <w:r w:rsidR="0099100D">
        <w:rPr>
          <w:rFonts w:ascii="Cambria" w:hAnsi="Cambria"/>
        </w:rPr>
        <w:t xml:space="preserve">zakonom </w:t>
      </w:r>
      <w:r>
        <w:rPr>
          <w:rFonts w:ascii="Cambria" w:hAnsi="Cambria"/>
        </w:rPr>
        <w:t xml:space="preserve">potpunije riješi pitanje </w:t>
      </w:r>
      <w:r>
        <w:t>utvrđivanja</w:t>
      </w:r>
      <w:r w:rsidR="00751C27" w:rsidRPr="00065F91">
        <w:rPr>
          <w:rFonts w:ascii="Cambria" w:hAnsi="Cambria"/>
        </w:rPr>
        <w:t>visine naknade nematerijalne štete zbog povrede časti i ugleda učinjene putem medija, obzirom da je, sa aspekta sudske prakse, načela pravne sigurnosti i jednakog postupanja, neophodno definisati preciznije kriterijume i mjerila za utvrđivanje pravične nadoknade za povredu časti i ugleda</w:t>
      </w:r>
      <w:r w:rsidR="0099100D">
        <w:rPr>
          <w:rFonts w:ascii="Cambria" w:hAnsi="Cambria"/>
        </w:rPr>
        <w:t>, nego što je obezbijeđeno načelnim stavom Vrhovnog suda</w:t>
      </w:r>
      <w:commentRangeStart w:id="26"/>
      <w:r w:rsidR="00751C27" w:rsidRPr="00065F91">
        <w:rPr>
          <w:rFonts w:ascii="Cambria" w:hAnsi="Cambria"/>
        </w:rPr>
        <w:t>.</w:t>
      </w:r>
      <w:r w:rsidR="00751C27">
        <w:rPr>
          <w:rStyle w:val="FootnoteReference"/>
          <w:rFonts w:ascii="Cambria" w:hAnsi="Cambria"/>
        </w:rPr>
        <w:footnoteReference w:id="13"/>
      </w:r>
      <w:commentRangeEnd w:id="26"/>
      <w:r w:rsidR="0040179C">
        <w:rPr>
          <w:rStyle w:val="CommentReference"/>
          <w:rFonts w:ascii="Calibri" w:hAnsi="Calibri"/>
          <w:lang w:val="en-US" w:eastAsia="en-US"/>
        </w:rPr>
        <w:commentReference w:id="26"/>
      </w:r>
    </w:p>
    <w:p w:rsidR="00751C27" w:rsidRDefault="00751C27" w:rsidP="00751C27">
      <w:pPr>
        <w:pStyle w:val="ColorfulList-Accent11"/>
        <w:rPr>
          <w:rFonts w:ascii="Cambria" w:hAnsi="Cambria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U okviru mjere 3.4.7</w:t>
      </w:r>
      <w:r w:rsidR="0099100D">
        <w:rPr>
          <w:rFonts w:ascii="Cambria" w:hAnsi="Cambria"/>
        </w:rPr>
        <w:t>,</w:t>
      </w:r>
      <w:r w:rsidRPr="00065F91">
        <w:rPr>
          <w:rFonts w:ascii="Cambria" w:hAnsi="Cambria"/>
        </w:rPr>
        <w:t xml:space="preserve">sprovesti dodatnu edukaciju novinara </w:t>
      </w:r>
      <w:r w:rsidR="00FA2E1A">
        <w:rPr>
          <w:rFonts w:ascii="Cambria" w:hAnsi="Cambria"/>
        </w:rPr>
        <w:t>u skladu sa</w:t>
      </w:r>
      <w:r w:rsidRPr="00065F91">
        <w:rPr>
          <w:rFonts w:ascii="Cambria" w:hAnsi="Cambria"/>
        </w:rPr>
        <w:t xml:space="preserve"> standardima Evropskog suda za ljudska prava o og</w:t>
      </w:r>
      <w:r w:rsidR="00FA2E1A">
        <w:rPr>
          <w:rFonts w:ascii="Cambria" w:hAnsi="Cambria"/>
        </w:rPr>
        <w:t xml:space="preserve">raničenjima slobode </w:t>
      </w:r>
      <w:commentRangeStart w:id="27"/>
      <w:r w:rsidR="00FA2E1A">
        <w:rPr>
          <w:rFonts w:ascii="Cambria" w:hAnsi="Cambria"/>
        </w:rPr>
        <w:t>izražavanja</w:t>
      </w:r>
      <w:commentRangeEnd w:id="27"/>
      <w:r w:rsidR="0040179C">
        <w:rPr>
          <w:rStyle w:val="CommentReference"/>
          <w:rFonts w:ascii="Calibri" w:hAnsi="Calibri"/>
          <w:lang w:val="en-US" w:eastAsia="en-US"/>
        </w:rPr>
        <w:commentReference w:id="27"/>
      </w:r>
      <w:r>
        <w:rPr>
          <w:rFonts w:ascii="Cambria" w:hAnsi="Cambria"/>
        </w:rPr>
        <w:t>.</w:t>
      </w:r>
      <w:r>
        <w:rPr>
          <w:rStyle w:val="FootnoteReference"/>
          <w:rFonts w:ascii="Cambria" w:hAnsi="Cambria"/>
        </w:rPr>
        <w:footnoteReference w:id="14"/>
      </w:r>
    </w:p>
    <w:p w:rsidR="00751C27" w:rsidRPr="00065F91" w:rsidRDefault="00751C27" w:rsidP="00751C27">
      <w:pPr>
        <w:jc w:val="both"/>
        <w:rPr>
          <w:rFonts w:ascii="Cambria" w:hAnsi="Cambria"/>
        </w:rPr>
      </w:pPr>
    </w:p>
    <w:p w:rsidR="00751C27" w:rsidRPr="002A0513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2A0513">
        <w:rPr>
          <w:rFonts w:ascii="Cambria" w:eastAsia="Calibri" w:hAnsi="Cambria"/>
          <w:lang w:val="sr-Latn-CS" w:eastAsia="en-US"/>
        </w:rPr>
        <w:t>U okviru mjere 3.4.8</w:t>
      </w:r>
      <w:r w:rsidR="0099100D">
        <w:rPr>
          <w:rFonts w:ascii="Cambria" w:eastAsia="Calibri" w:hAnsi="Cambria"/>
          <w:lang w:val="sr-Latn-CS" w:eastAsia="en-US"/>
        </w:rPr>
        <w:t>,</w:t>
      </w:r>
      <w:r w:rsidRPr="002A0513">
        <w:rPr>
          <w:rFonts w:ascii="Cambria" w:eastAsia="Calibri" w:hAnsi="Cambria"/>
          <w:lang w:val="sr-Latn-CS" w:eastAsia="en-US"/>
        </w:rPr>
        <w:t xml:space="preserve"> ističemo da je</w:t>
      </w:r>
      <w:r w:rsidR="0099100D">
        <w:rPr>
          <w:rFonts w:ascii="Cambria" w:eastAsia="Calibri" w:hAnsi="Cambria"/>
          <w:lang w:val="sr-Latn-CS" w:eastAsia="en-US"/>
        </w:rPr>
        <w:t xml:space="preserve"> uz pomoć</w:t>
      </w:r>
      <w:r w:rsidRPr="002A0513">
        <w:rPr>
          <w:rFonts w:ascii="Cambria" w:eastAsia="Calibri" w:hAnsi="Cambria"/>
          <w:lang w:val="sr-Latn-CS" w:eastAsia="en-US"/>
        </w:rPr>
        <w:t xml:space="preserve"> Britansk</w:t>
      </w:r>
      <w:r w:rsidR="0099100D">
        <w:rPr>
          <w:rFonts w:ascii="Cambria" w:eastAsia="Calibri" w:hAnsi="Cambria"/>
          <w:lang w:val="sr-Latn-CS" w:eastAsia="en-US"/>
        </w:rPr>
        <w:t>e</w:t>
      </w:r>
      <w:r w:rsidRPr="002A0513">
        <w:rPr>
          <w:rFonts w:ascii="Cambria" w:eastAsia="Calibri" w:hAnsi="Cambria"/>
          <w:lang w:val="sr-Latn-CS" w:eastAsia="en-US"/>
        </w:rPr>
        <w:t xml:space="preserve"> ambasad</w:t>
      </w:r>
      <w:r w:rsidR="0099100D">
        <w:rPr>
          <w:rFonts w:ascii="Cambria" w:eastAsia="Calibri" w:hAnsi="Cambria"/>
          <w:lang w:val="sr-Latn-CS" w:eastAsia="en-US"/>
        </w:rPr>
        <w:t>e</w:t>
      </w:r>
      <w:r w:rsidRPr="002A0513">
        <w:rPr>
          <w:rFonts w:ascii="Cambria" w:eastAsia="Calibri" w:hAnsi="Cambria"/>
          <w:lang w:val="sr-Latn-CS" w:eastAsia="en-US"/>
        </w:rPr>
        <w:t xml:space="preserve"> HRA </w:t>
      </w:r>
      <w:r w:rsidR="0099100D">
        <w:rPr>
          <w:rFonts w:ascii="Cambria" w:eastAsia="Calibri" w:hAnsi="Cambria"/>
          <w:lang w:val="sr-Latn-CS" w:eastAsia="en-US"/>
        </w:rPr>
        <w:t>upravo</w:t>
      </w:r>
      <w:r w:rsidRPr="002A0513">
        <w:rPr>
          <w:rFonts w:ascii="Cambria" w:eastAsia="Calibri" w:hAnsi="Cambria"/>
          <w:lang w:val="sr-Latn-CS" w:eastAsia="en-US"/>
        </w:rPr>
        <w:t xml:space="preserve"> izra</w:t>
      </w:r>
      <w:r w:rsidR="0099100D">
        <w:rPr>
          <w:rFonts w:ascii="Cambria" w:eastAsia="Calibri" w:hAnsi="Cambria"/>
          <w:lang w:val="sr-Latn-CS" w:eastAsia="en-US"/>
        </w:rPr>
        <w:t>dila</w:t>
      </w:r>
      <w:r w:rsidRPr="002A0513">
        <w:rPr>
          <w:rFonts w:ascii="Cambria" w:eastAsia="Calibri" w:hAnsi="Cambria"/>
          <w:lang w:val="sr-Latn-CS" w:eastAsia="en-US"/>
        </w:rPr>
        <w:t xml:space="preserve"> priručnik</w:t>
      </w:r>
      <w:r w:rsidR="0099100D">
        <w:rPr>
          <w:rFonts w:ascii="Cambria" w:eastAsia="Calibri" w:hAnsi="Cambria"/>
          <w:lang w:val="sr-Latn-CS" w:eastAsia="en-US"/>
        </w:rPr>
        <w:t xml:space="preserve"> za novinare o primjeni profesionalne etike</w:t>
      </w:r>
      <w:r w:rsidRPr="002A0513">
        <w:rPr>
          <w:rFonts w:ascii="Cambria" w:eastAsia="Calibri" w:hAnsi="Cambria"/>
          <w:lang w:val="sr-Latn-CS" w:eastAsia="en-US"/>
        </w:rPr>
        <w:t xml:space="preserve"> i održan program </w:t>
      </w:r>
      <w:r w:rsidR="0099100D">
        <w:rPr>
          <w:rFonts w:ascii="Cambria" w:eastAsia="Calibri" w:hAnsi="Cambria"/>
          <w:lang w:val="sr-Latn-CS" w:eastAsia="en-US"/>
        </w:rPr>
        <w:t xml:space="preserve">radionica za </w:t>
      </w:r>
      <w:r w:rsidRPr="002A0513">
        <w:rPr>
          <w:rFonts w:ascii="Cambria" w:eastAsia="Calibri" w:hAnsi="Cambria"/>
          <w:lang w:val="sr-Latn-CS" w:eastAsia="en-US"/>
        </w:rPr>
        <w:t>obuk</w:t>
      </w:r>
      <w:r w:rsidR="0099100D">
        <w:rPr>
          <w:rFonts w:ascii="Cambria" w:eastAsia="Calibri" w:hAnsi="Cambria"/>
          <w:lang w:val="sr-Latn-CS" w:eastAsia="en-US"/>
        </w:rPr>
        <w:t>u</w:t>
      </w:r>
      <w:r w:rsidR="00FA2E1A">
        <w:rPr>
          <w:rFonts w:ascii="Cambria" w:eastAsia="Calibri" w:hAnsi="Cambria"/>
          <w:lang w:val="sr-Latn-CS" w:eastAsia="en-US"/>
        </w:rPr>
        <w:t xml:space="preserve"> urednika</w:t>
      </w:r>
      <w:r w:rsidR="0099100D">
        <w:rPr>
          <w:rFonts w:ascii="Cambria" w:eastAsia="Calibri" w:hAnsi="Cambria"/>
          <w:lang w:val="sr-Latn-CS" w:eastAsia="en-US"/>
        </w:rPr>
        <w:t xml:space="preserve"> i novinara,</w:t>
      </w:r>
      <w:r w:rsidR="00FA2E1A">
        <w:rPr>
          <w:rFonts w:ascii="Cambria" w:eastAsia="Calibri" w:hAnsi="Cambria"/>
          <w:lang w:val="sr-Latn-CS" w:eastAsia="en-US"/>
        </w:rPr>
        <w:t>u ko</w:t>
      </w:r>
      <w:r w:rsidR="0099100D">
        <w:rPr>
          <w:rFonts w:ascii="Cambria" w:eastAsia="Calibri" w:hAnsi="Cambria"/>
          <w:lang w:val="sr-Latn-CS" w:eastAsia="en-US"/>
        </w:rPr>
        <w:t>je</w:t>
      </w:r>
      <w:r w:rsidR="00FA2E1A">
        <w:rPr>
          <w:rFonts w:ascii="Cambria" w:eastAsia="Calibri" w:hAnsi="Cambria"/>
          <w:lang w:val="sr-Latn-CS" w:eastAsia="en-US"/>
        </w:rPr>
        <w:t>m je učestvovala</w:t>
      </w:r>
      <w:r w:rsidRPr="002A0513">
        <w:rPr>
          <w:rFonts w:ascii="Cambria" w:eastAsia="Calibri" w:hAnsi="Cambria"/>
          <w:lang w:val="sr-Latn-CS" w:eastAsia="en-US"/>
        </w:rPr>
        <w:t xml:space="preserve"> manjina, tako da su i naredni programi u tom smislu neophodni. </w:t>
      </w:r>
    </w:p>
    <w:p w:rsidR="00751C27" w:rsidRPr="002A0513" w:rsidRDefault="00751C27" w:rsidP="00751C27">
      <w:pPr>
        <w:pStyle w:val="ColorfulList-Accent11"/>
        <w:rPr>
          <w:rFonts w:ascii="Cambria" w:hAnsi="Cambria"/>
        </w:rPr>
      </w:pPr>
    </w:p>
    <w:p w:rsidR="00A82744" w:rsidRPr="00A82744" w:rsidRDefault="00F030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 w:cs="Tahoma"/>
          <w:lang w:val="sr-Latn-CS"/>
        </w:rPr>
        <w:t>Dodati novu mjeru 3.4.9, usvojiti Strategiju javnog informisanja, po uzoru na Republiku Srbiju, kojom će biti propisana načela javnog informisanja i pravci razvoja, kao i zaključci u vidu propisa koje treba donijeti, odnosno izmijeniti ili dopuniti. U izradu Strategije uključiti medije i NVO. Načela i zaključke treba da usvoji i Skupština u vidu rezolucije</w:t>
      </w:r>
      <w:commentRangeStart w:id="28"/>
      <w:r>
        <w:rPr>
          <w:rFonts w:ascii="Cambria" w:hAnsi="Cambria" w:cs="Tahoma"/>
          <w:lang w:val="sr-Latn-CS"/>
        </w:rPr>
        <w:t>.</w:t>
      </w:r>
      <w:commentRangeEnd w:id="28"/>
      <w:r w:rsidR="00D4557E">
        <w:rPr>
          <w:rStyle w:val="CommentReference"/>
          <w:rFonts w:ascii="Calibri" w:hAnsi="Calibri"/>
          <w:lang w:val="en-US" w:eastAsia="en-US"/>
        </w:rPr>
        <w:commentReference w:id="28"/>
      </w:r>
    </w:p>
    <w:p w:rsidR="00A82744" w:rsidRDefault="00A82744" w:rsidP="00A82744">
      <w:pPr>
        <w:jc w:val="both"/>
        <w:rPr>
          <w:rFonts w:ascii="Cambria" w:hAnsi="Cambria"/>
        </w:rPr>
      </w:pPr>
    </w:p>
    <w:p w:rsidR="00751C27" w:rsidRPr="00A82744" w:rsidRDefault="00A82744" w:rsidP="00A82744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AKO SE NE USVOJI MJERA PREDLOŽENA POD 3.4.9, onda mjerom</w:t>
      </w:r>
      <w:r w:rsidRPr="00A82744">
        <w:rPr>
          <w:rFonts w:ascii="Cambria" w:hAnsi="Cambria"/>
        </w:rPr>
        <w:t xml:space="preserve"> 3.4.10,</w:t>
      </w:r>
      <w:r>
        <w:rPr>
          <w:rFonts w:ascii="Cambria" w:hAnsi="Cambria"/>
        </w:rPr>
        <w:t xml:space="preserve"> planirati</w:t>
      </w:r>
      <w:r w:rsidR="00751C27" w:rsidRPr="00A82744">
        <w:rPr>
          <w:rFonts w:ascii="Cambria" w:hAnsi="Cambria" w:cs="Tahoma"/>
          <w:lang w:val="sr-Latn-CS"/>
        </w:rPr>
        <w:t>Analizu potrebe za dopunom Zakona o medijima u cilju uključivanja ”dužne novinarske pažnje” i drugih standarda iz prakse Evropskog suda za ljudska prava u ovaj zakon. Ovakvu analizu je izvela HRA i predložila dopune Zakona o medijima u Predlogu reforme odgovornosti za povredu časti i ugleda u Crnoj Gori</w:t>
      </w:r>
      <w:r w:rsidR="00751C27" w:rsidRPr="002A0513">
        <w:rPr>
          <w:rStyle w:val="FootnoteReference"/>
          <w:rFonts w:ascii="Cambria" w:hAnsi="Cambria" w:cs="Tahoma"/>
          <w:lang w:val="sr-Latn-CS"/>
        </w:rPr>
        <w:footnoteReference w:id="15"/>
      </w:r>
      <w:r w:rsidR="00751C27" w:rsidRPr="00A82744">
        <w:rPr>
          <w:rFonts w:ascii="Cambria" w:hAnsi="Cambria" w:cs="Tahoma"/>
          <w:lang w:val="sr-Latn-CS"/>
        </w:rPr>
        <w:t xml:space="preserve">. Nadležni organi za realizaciju ove mjere su: Ministarstvo kulture, Ministarstvo za ljudska i manjinska prava, Ministarstvo pravde i NVO. Rok za realizaciju ove mjere bi trebao biti oktobar-decembar </w:t>
      </w:r>
      <w:commentRangeStart w:id="29"/>
      <w:r w:rsidR="00751C27" w:rsidRPr="00A82744">
        <w:rPr>
          <w:rFonts w:ascii="Cambria" w:hAnsi="Cambria" w:cs="Tahoma"/>
          <w:lang w:val="sr-Latn-CS"/>
        </w:rPr>
        <w:t>2013</w:t>
      </w:r>
      <w:commentRangeEnd w:id="29"/>
      <w:r w:rsidR="00327FC7">
        <w:rPr>
          <w:rStyle w:val="CommentReference"/>
          <w:rFonts w:ascii="Calibri" w:hAnsi="Calibri"/>
          <w:lang w:val="en-US" w:eastAsia="en-US"/>
        </w:rPr>
        <w:commentReference w:id="29"/>
      </w:r>
      <w:r w:rsidR="00751C27" w:rsidRPr="00A82744">
        <w:rPr>
          <w:rFonts w:ascii="Cambria" w:hAnsi="Cambria" w:cs="Tahoma"/>
          <w:lang w:val="sr-Latn-CS"/>
        </w:rPr>
        <w:t>.</w:t>
      </w:r>
    </w:p>
    <w:p w:rsidR="00751C27" w:rsidRPr="002A0513" w:rsidRDefault="00751C27" w:rsidP="00751C27">
      <w:pPr>
        <w:pStyle w:val="ColorfulList-Accent11"/>
        <w:rPr>
          <w:rFonts w:ascii="Cambria" w:hAnsi="Cambria"/>
        </w:rPr>
      </w:pPr>
    </w:p>
    <w:p w:rsidR="00751C27" w:rsidRPr="00FA2E1A" w:rsidRDefault="00FA2E1A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FA2E1A">
        <w:rPr>
          <w:rFonts w:ascii="Cambria" w:eastAsia="Calibri" w:hAnsi="Cambria"/>
          <w:lang w:val="sr-Latn-CS" w:eastAsia="en-US"/>
        </w:rPr>
        <w:lastRenderedPageBreak/>
        <w:t>U okviru mjere 3.6.1.2</w:t>
      </w:r>
      <w:r w:rsidR="00751C27" w:rsidRPr="00FA2E1A">
        <w:rPr>
          <w:rFonts w:ascii="Cambria" w:eastAsia="Calibri" w:hAnsi="Cambria"/>
          <w:lang w:val="sr-Latn-CS" w:eastAsia="en-US"/>
        </w:rPr>
        <w:t xml:space="preserve"> ističemo da je potrebno </w:t>
      </w:r>
      <w:r w:rsidRPr="00FA2E1A">
        <w:rPr>
          <w:rFonts w:ascii="Cambria" w:eastAsia="Calibri" w:hAnsi="Cambria"/>
          <w:lang w:val="sr-Latn-CS" w:eastAsia="en-US"/>
        </w:rPr>
        <w:t xml:space="preserve">voditi računa o kvalitetu obuka, između ostalog i u pravcu razgraničenja i prepoznavanja </w:t>
      </w:r>
      <w:commentRangeStart w:id="30"/>
      <w:r w:rsidRPr="00FA2E1A">
        <w:rPr>
          <w:rFonts w:ascii="Cambria" w:eastAsia="Calibri" w:hAnsi="Cambria"/>
          <w:lang w:val="sr-Latn-CS" w:eastAsia="en-US"/>
        </w:rPr>
        <w:t>diskriminacije</w:t>
      </w:r>
      <w:commentRangeEnd w:id="30"/>
      <w:r w:rsidR="00C3139E">
        <w:rPr>
          <w:rStyle w:val="CommentReference"/>
          <w:rFonts w:ascii="Calibri" w:hAnsi="Calibri"/>
          <w:lang w:val="en-US" w:eastAsia="en-US"/>
        </w:rPr>
        <w:commentReference w:id="30"/>
      </w:r>
      <w:r w:rsidRPr="00FA2E1A">
        <w:rPr>
          <w:rFonts w:ascii="Cambria" w:eastAsia="Calibri" w:hAnsi="Cambria"/>
          <w:lang w:val="sr-Latn-CS" w:eastAsia="en-US"/>
        </w:rPr>
        <w:t>.</w:t>
      </w:r>
    </w:p>
    <w:p w:rsidR="00FA2E1A" w:rsidRPr="00FA2E1A" w:rsidRDefault="00FA2E1A" w:rsidP="00714D50">
      <w:pPr>
        <w:jc w:val="both"/>
        <w:rPr>
          <w:rFonts w:ascii="Cambria" w:hAnsi="Cambria"/>
        </w:rPr>
      </w:pPr>
    </w:p>
    <w:p w:rsidR="00751C27" w:rsidRPr="00FA2E1A" w:rsidRDefault="003A321B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eastAsia="Calibri" w:hAnsi="Cambria"/>
          <w:lang w:val="sr-Latn-CS" w:eastAsia="en-US"/>
        </w:rPr>
        <w:t>K</w:t>
      </w:r>
      <w:r w:rsidR="00FA2E1A" w:rsidRPr="00FA2E1A">
        <w:rPr>
          <w:rFonts w:ascii="Cambria" w:eastAsia="Calibri" w:hAnsi="Cambria"/>
          <w:lang w:val="sr-Latn-CS" w:eastAsia="en-US"/>
        </w:rPr>
        <w:t>ampanje iz mjere 3.6.1.3</w:t>
      </w:r>
      <w:r w:rsidR="00751C27" w:rsidRPr="00FA2E1A">
        <w:rPr>
          <w:rFonts w:ascii="Cambria" w:eastAsia="Calibri" w:hAnsi="Cambria"/>
          <w:lang w:val="sr-Latn-CS" w:eastAsia="en-US"/>
        </w:rPr>
        <w:t xml:space="preserve"> treba</w:t>
      </w:r>
      <w:r w:rsidR="00FA2E1A" w:rsidRPr="00FA2E1A">
        <w:rPr>
          <w:rFonts w:ascii="Cambria" w:eastAsia="Calibri" w:hAnsi="Cambria"/>
          <w:lang w:val="sr-Latn-CS" w:eastAsia="en-US"/>
        </w:rPr>
        <w:t>ju</w:t>
      </w:r>
      <w:r w:rsidR="00751C27" w:rsidRPr="00FA2E1A">
        <w:rPr>
          <w:rFonts w:ascii="Cambria" w:eastAsia="Calibri" w:hAnsi="Cambria"/>
          <w:lang w:val="sr-Latn-CS" w:eastAsia="en-US"/>
        </w:rPr>
        <w:t xml:space="preserve"> biti </w:t>
      </w:r>
      <w:r w:rsidR="00FA2E1A">
        <w:rPr>
          <w:rFonts w:ascii="Cambria" w:eastAsia="Calibri" w:hAnsi="Cambria"/>
          <w:lang w:val="sr-Latn-CS" w:eastAsia="en-US"/>
        </w:rPr>
        <w:t xml:space="preserve">usmjerene prvenstveno na motivisanje građana da prijave </w:t>
      </w:r>
      <w:commentRangeStart w:id="31"/>
      <w:r w:rsidR="00FA2E1A">
        <w:rPr>
          <w:rFonts w:ascii="Cambria" w:eastAsia="Calibri" w:hAnsi="Cambria"/>
          <w:lang w:val="sr-Latn-CS" w:eastAsia="en-US"/>
        </w:rPr>
        <w:t>diskriminaciju</w:t>
      </w:r>
      <w:commentRangeEnd w:id="31"/>
      <w:r w:rsidR="00CE3966">
        <w:rPr>
          <w:rStyle w:val="CommentReference"/>
          <w:rFonts w:ascii="Calibri" w:hAnsi="Calibri"/>
          <w:lang w:val="en-US" w:eastAsia="en-US"/>
        </w:rPr>
        <w:commentReference w:id="31"/>
      </w:r>
      <w:r w:rsidR="00FA2E1A">
        <w:rPr>
          <w:rFonts w:ascii="Cambria" w:eastAsia="Calibri" w:hAnsi="Cambria"/>
          <w:lang w:val="sr-Latn-CS" w:eastAsia="en-US"/>
        </w:rPr>
        <w:t>.</w:t>
      </w:r>
    </w:p>
    <w:p w:rsidR="00FA2E1A" w:rsidRPr="00FA2E1A" w:rsidRDefault="00FA2E1A" w:rsidP="00FA2E1A">
      <w:pPr>
        <w:ind w:left="720"/>
        <w:jc w:val="both"/>
        <w:rPr>
          <w:rFonts w:ascii="Cambria" w:hAnsi="Cambria"/>
        </w:rPr>
      </w:pPr>
    </w:p>
    <w:p w:rsidR="00751C27" w:rsidRPr="002A0513" w:rsidRDefault="00714D50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eastAsia="Calibri" w:hAnsi="Cambria"/>
          <w:lang w:val="sr-Latn-CS" w:eastAsia="en-US"/>
        </w:rPr>
        <w:t>U okviru mjere 3.6.2.1</w:t>
      </w:r>
      <w:r w:rsidR="00751C27" w:rsidRPr="002A0513">
        <w:rPr>
          <w:rFonts w:ascii="Cambria" w:eastAsia="Calibri" w:hAnsi="Cambria"/>
          <w:lang w:val="sr-Latn-CS" w:eastAsia="en-US"/>
        </w:rPr>
        <w:t xml:space="preserve"> dodati aktivnost: „Sprovesti istraživanje među ženama u svim oblastima Crne Gore o tome kako one vide problem rodne ravnopravnosti u CG, što su razlozi diskriminacije, zbog čega se više ne uključuju u javni život, zašto se ne bave politikom ili se ne bi bavile </w:t>
      </w:r>
      <w:commentRangeStart w:id="32"/>
      <w:r w:rsidR="00751C27" w:rsidRPr="002A0513">
        <w:rPr>
          <w:rFonts w:ascii="Cambria" w:eastAsia="Calibri" w:hAnsi="Cambria"/>
          <w:lang w:val="sr-Latn-CS" w:eastAsia="en-US"/>
        </w:rPr>
        <w:t>politikom</w:t>
      </w:r>
      <w:commentRangeEnd w:id="32"/>
      <w:r w:rsidR="006A2757">
        <w:rPr>
          <w:rStyle w:val="CommentReference"/>
          <w:rFonts w:ascii="Calibri" w:hAnsi="Calibri"/>
          <w:lang w:val="en-US" w:eastAsia="en-US"/>
        </w:rPr>
        <w:commentReference w:id="32"/>
      </w:r>
      <w:r w:rsidR="00751C27" w:rsidRPr="002A0513">
        <w:rPr>
          <w:rFonts w:ascii="Cambria" w:eastAsia="Calibri" w:hAnsi="Cambria"/>
          <w:lang w:val="sr-Latn-CS" w:eastAsia="en-US"/>
        </w:rPr>
        <w:t>?“.</w:t>
      </w:r>
    </w:p>
    <w:p w:rsidR="00751C27" w:rsidRPr="002A0513" w:rsidRDefault="00751C27" w:rsidP="00751C27">
      <w:pPr>
        <w:pStyle w:val="ColorfulList-Accent11"/>
        <w:rPr>
          <w:rFonts w:ascii="Cambria" w:hAnsi="Cambria"/>
        </w:rPr>
      </w:pPr>
    </w:p>
    <w:p w:rsidR="00751C27" w:rsidRPr="002A0513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2A0513">
        <w:rPr>
          <w:rFonts w:ascii="Cambria" w:eastAsia="Calibri" w:hAnsi="Cambria"/>
          <w:lang w:val="sr-Latn-CS" w:eastAsia="en-US"/>
        </w:rPr>
        <w:t xml:space="preserve">U okviru mjere 3.6.3. (kod opisa trenutnog stanja) dodati i to da je potpredsjednik Vlade osnovao ukupno 3 radne grupeza izradu Analize o potrebi usklađivanja crnogorskog zakonodavstva sa međunarodnim standardima u oblasti LGBT prava, koje su sve uspješno okončale rad sa konkretnim </w:t>
      </w:r>
      <w:commentRangeStart w:id="33"/>
      <w:r w:rsidRPr="002A0513">
        <w:rPr>
          <w:rFonts w:ascii="Cambria" w:eastAsia="Calibri" w:hAnsi="Cambria"/>
          <w:lang w:val="sr-Latn-CS" w:eastAsia="en-US"/>
        </w:rPr>
        <w:t>predlozima</w:t>
      </w:r>
      <w:commentRangeEnd w:id="33"/>
      <w:r w:rsidR="00205193">
        <w:rPr>
          <w:rStyle w:val="CommentReference"/>
          <w:rFonts w:ascii="Calibri" w:hAnsi="Calibri"/>
          <w:lang w:val="en-US" w:eastAsia="en-US"/>
        </w:rPr>
        <w:commentReference w:id="33"/>
      </w:r>
      <w:r w:rsidRPr="002A0513">
        <w:rPr>
          <w:rFonts w:ascii="Cambria" w:eastAsia="Calibri" w:hAnsi="Cambria"/>
          <w:lang w:val="sr-Latn-CS" w:eastAsia="en-US"/>
        </w:rPr>
        <w:t>.</w:t>
      </w:r>
    </w:p>
    <w:p w:rsidR="00751C27" w:rsidRPr="002A0513" w:rsidRDefault="00751C27" w:rsidP="00751C27">
      <w:pPr>
        <w:pStyle w:val="ColorfulList-Accent11"/>
        <w:rPr>
          <w:rFonts w:ascii="Cambria" w:hAnsi="Cambria"/>
        </w:rPr>
      </w:pPr>
    </w:p>
    <w:p w:rsidR="001A7599" w:rsidRPr="001A7599" w:rsidRDefault="00751C27" w:rsidP="001A7599">
      <w:pPr>
        <w:numPr>
          <w:ilvl w:val="0"/>
          <w:numId w:val="35"/>
        </w:numPr>
        <w:jc w:val="both"/>
        <w:rPr>
          <w:rFonts w:ascii="Cambria" w:hAnsi="Cambria"/>
        </w:rPr>
      </w:pPr>
      <w:r w:rsidRPr="001A7599">
        <w:rPr>
          <w:rFonts w:ascii="Cambria" w:hAnsi="Cambria"/>
        </w:rPr>
        <w:t xml:space="preserve">U okviru mjere 3.9.6. </w:t>
      </w:r>
      <w:r w:rsidR="001A7599">
        <w:rPr>
          <w:rFonts w:ascii="Cambria" w:hAnsi="Cambria"/>
        </w:rPr>
        <w:t xml:space="preserve">dodati kao mjeru </w:t>
      </w:r>
      <w:r w:rsidR="003A321B">
        <w:rPr>
          <w:rFonts w:ascii="Cambria" w:hAnsi="Cambria"/>
        </w:rPr>
        <w:t xml:space="preserve">– </w:t>
      </w:r>
      <w:r w:rsidR="001A7599">
        <w:rPr>
          <w:rFonts w:ascii="Cambria" w:hAnsi="Cambria"/>
        </w:rPr>
        <w:t>i</w:t>
      </w:r>
      <w:r w:rsidR="003A321B">
        <w:rPr>
          <w:rFonts w:ascii="Cambria" w:hAnsi="Cambria"/>
        </w:rPr>
        <w:t>zmjene i</w:t>
      </w:r>
      <w:r w:rsidR="001A7599">
        <w:rPr>
          <w:rFonts w:ascii="Cambria" w:hAnsi="Cambria"/>
        </w:rPr>
        <w:t xml:space="preserve"> dopun</w:t>
      </w:r>
      <w:r w:rsidR="003A321B">
        <w:rPr>
          <w:rFonts w:ascii="Cambria" w:hAnsi="Cambria"/>
        </w:rPr>
        <w:t>e</w:t>
      </w:r>
      <w:r w:rsidRPr="001A7599">
        <w:rPr>
          <w:rFonts w:ascii="Cambria" w:hAnsi="Cambria"/>
        </w:rPr>
        <w:t xml:space="preserve"> Zakon o besplatnoj pravnoj pomoći na način da se ova pomoć proširi i na zaštitu u upravnom postupku,</w:t>
      </w:r>
      <w:r w:rsidR="001A7599" w:rsidRPr="001A7599">
        <w:rPr>
          <w:rFonts w:ascii="Cambria" w:eastAsia="Calibri" w:hAnsi="Cambria"/>
          <w:lang w:val="sr-Latn-CS" w:eastAsia="en-US"/>
        </w:rPr>
        <w:t xml:space="preserve">ali i na opseg subjekata koji takvu pomoć mogu pružati, te lica koja takvu pomoć trebaju </w:t>
      </w:r>
      <w:commentRangeStart w:id="34"/>
      <w:r w:rsidR="001A7599" w:rsidRPr="001A7599">
        <w:rPr>
          <w:rFonts w:ascii="Cambria" w:eastAsia="Calibri" w:hAnsi="Cambria"/>
          <w:lang w:val="sr-Latn-CS" w:eastAsia="en-US"/>
        </w:rPr>
        <w:t>uživati</w:t>
      </w:r>
      <w:commentRangeEnd w:id="34"/>
      <w:r w:rsidR="00571D81">
        <w:rPr>
          <w:rStyle w:val="CommentReference"/>
          <w:rFonts w:ascii="Calibri" w:hAnsi="Calibri"/>
          <w:lang w:val="en-US" w:eastAsia="en-US"/>
        </w:rPr>
        <w:commentReference w:id="34"/>
      </w:r>
      <w:r w:rsidR="001A7599" w:rsidRPr="001A7599">
        <w:rPr>
          <w:rFonts w:ascii="Cambria" w:eastAsia="Calibri" w:hAnsi="Cambria"/>
          <w:lang w:val="sr-Latn-CS" w:eastAsia="en-US"/>
        </w:rPr>
        <w:t>.</w:t>
      </w:r>
    </w:p>
    <w:p w:rsidR="001A7599" w:rsidRPr="001A7599" w:rsidRDefault="001A7599" w:rsidP="001A7599">
      <w:pPr>
        <w:ind w:left="720"/>
        <w:jc w:val="both"/>
        <w:rPr>
          <w:rFonts w:ascii="Cambria" w:hAnsi="Cambria"/>
        </w:rPr>
      </w:pPr>
    </w:p>
    <w:p w:rsidR="00751C27" w:rsidRPr="002A0513" w:rsidRDefault="001A7599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U pogledu mjere 3.10.2.4</w:t>
      </w:r>
      <w:r w:rsidR="00751C27" w:rsidRPr="002A0513">
        <w:rPr>
          <w:rFonts w:ascii="Cambria" w:hAnsi="Cambria"/>
        </w:rPr>
        <w:t xml:space="preserve"> postavlja se pitanje da li je njen cilj rješavanje problema apatrida – lica bez državljanstva koja postoje u izvjesnom broju u Crnoj Gori? Ako je tako, to treba jasno reći i sprovesti i javnu </w:t>
      </w:r>
      <w:commentRangeStart w:id="35"/>
      <w:r w:rsidR="00751C27" w:rsidRPr="002A0513">
        <w:rPr>
          <w:rFonts w:ascii="Cambria" w:hAnsi="Cambria"/>
        </w:rPr>
        <w:t>kampanju</w:t>
      </w:r>
      <w:commentRangeEnd w:id="35"/>
      <w:r w:rsidR="009B53C8">
        <w:rPr>
          <w:rStyle w:val="CommentReference"/>
          <w:rFonts w:ascii="Calibri" w:hAnsi="Calibri"/>
          <w:lang w:val="en-US" w:eastAsia="en-US"/>
        </w:rPr>
        <w:commentReference w:id="35"/>
      </w:r>
      <w:r w:rsidR="00751C27" w:rsidRPr="002A0513">
        <w:rPr>
          <w:rFonts w:ascii="Cambria" w:hAnsi="Cambria"/>
        </w:rPr>
        <w:t>.</w:t>
      </w:r>
    </w:p>
    <w:p w:rsidR="00751C27" w:rsidRPr="002A0513" w:rsidRDefault="00751C27" w:rsidP="00751C27">
      <w:pPr>
        <w:pStyle w:val="ColorfulList-Accent11"/>
        <w:rPr>
          <w:rFonts w:ascii="Cambria" w:hAnsi="Cambria"/>
        </w:rPr>
      </w:pPr>
    </w:p>
    <w:p w:rsidR="00751C27" w:rsidRPr="001A7599" w:rsidRDefault="001A7599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 w:rsidRPr="001A7599">
        <w:rPr>
          <w:rFonts w:ascii="Cambria" w:hAnsi="Cambria" w:cs="Calibri"/>
        </w:rPr>
        <w:t>U okviru mjere 3.11.1</w:t>
      </w:r>
      <w:r w:rsidR="00751C27" w:rsidRPr="001A7599">
        <w:rPr>
          <w:rFonts w:ascii="Cambria" w:hAnsi="Cambria" w:cs="Calibri"/>
        </w:rPr>
        <w:t xml:space="preserve"> potrebno je izvršiti dopunu Krivičnog zakonika i u di</w:t>
      </w:r>
      <w:r>
        <w:rPr>
          <w:rFonts w:ascii="Cambria" w:hAnsi="Cambria" w:cs="Calibri"/>
        </w:rPr>
        <w:t>jelu propisivanja težih</w:t>
      </w:r>
      <w:r w:rsidR="00751C27" w:rsidRPr="001A7599">
        <w:rPr>
          <w:rFonts w:ascii="Cambria" w:hAnsi="Cambria" w:cs="Calibri"/>
        </w:rPr>
        <w:t xml:space="preserve"> oblika pojedinih krivičnih </w:t>
      </w:r>
      <w:r>
        <w:rPr>
          <w:rFonts w:ascii="Cambria" w:hAnsi="Cambria" w:cs="Calibri"/>
        </w:rPr>
        <w:t xml:space="preserve">djela u onim slučajevima kada kod istih postoji mržnja kao kvalifikatorna </w:t>
      </w:r>
      <w:commentRangeStart w:id="36"/>
      <w:r>
        <w:rPr>
          <w:rFonts w:ascii="Cambria" w:hAnsi="Cambria" w:cs="Calibri"/>
        </w:rPr>
        <w:t>okolnost</w:t>
      </w:r>
      <w:commentRangeEnd w:id="36"/>
      <w:r w:rsidR="00E121A4">
        <w:rPr>
          <w:rStyle w:val="CommentReference"/>
          <w:rFonts w:ascii="Calibri" w:hAnsi="Calibri"/>
          <w:lang w:val="en-US" w:eastAsia="en-US"/>
        </w:rPr>
        <w:commentReference w:id="36"/>
      </w:r>
      <w:r>
        <w:rPr>
          <w:rFonts w:ascii="Cambria" w:hAnsi="Cambria" w:cs="Calibri"/>
        </w:rPr>
        <w:t>.</w:t>
      </w:r>
    </w:p>
    <w:p w:rsidR="00751C27" w:rsidRDefault="00751C27" w:rsidP="001A7599">
      <w:pPr>
        <w:pStyle w:val="ColorfulList-Accent11"/>
        <w:ind w:left="0"/>
        <w:rPr>
          <w:rFonts w:ascii="Cambria" w:hAnsi="Cambria"/>
        </w:rPr>
      </w:pPr>
    </w:p>
    <w:p w:rsidR="00751C27" w:rsidRDefault="00751C27" w:rsidP="00751C27">
      <w:pPr>
        <w:numPr>
          <w:ilvl w:val="0"/>
          <w:numId w:val="35"/>
        </w:numPr>
        <w:jc w:val="both"/>
        <w:rPr>
          <w:rFonts w:ascii="Cambria" w:hAnsi="Cambria"/>
        </w:rPr>
      </w:pPr>
      <w:r>
        <w:rPr>
          <w:rFonts w:ascii="Cambria" w:hAnsi="Cambria"/>
        </w:rPr>
        <w:t>Ono što nije obuhvaćeno Nacrtom ovog Akcionog plana, a trebalo bi uključ</w:t>
      </w:r>
      <w:r w:rsidR="003A321B">
        <w:rPr>
          <w:rFonts w:ascii="Cambria" w:hAnsi="Cambria"/>
        </w:rPr>
        <w:t>iti</w:t>
      </w:r>
      <w:r>
        <w:rPr>
          <w:rFonts w:ascii="Cambria" w:hAnsi="Cambria"/>
        </w:rPr>
        <w:t xml:space="preserve"> je sljedeće:</w:t>
      </w:r>
    </w:p>
    <w:p w:rsidR="00751C27" w:rsidRDefault="00751C27" w:rsidP="00751C27">
      <w:pPr>
        <w:jc w:val="both"/>
        <w:rPr>
          <w:rFonts w:ascii="Cambria" w:hAnsi="Cambria"/>
        </w:rPr>
      </w:pPr>
    </w:p>
    <w:p w:rsidR="00751C27" w:rsidRDefault="00751C27" w:rsidP="00751C27">
      <w:pPr>
        <w:ind w:left="720"/>
        <w:jc w:val="both"/>
        <w:rPr>
          <w:rFonts w:ascii="Cambria" w:hAnsi="Cambria"/>
        </w:rPr>
      </w:pPr>
      <w:r>
        <w:rPr>
          <w:rFonts w:ascii="Cambria" w:hAnsi="Cambria"/>
        </w:rPr>
        <w:t xml:space="preserve">- </w:t>
      </w:r>
      <w:r w:rsidRPr="002A0513">
        <w:rPr>
          <w:rFonts w:ascii="Cambria" w:hAnsi="Cambria"/>
        </w:rPr>
        <w:t xml:space="preserve">Izraditi analizu kaznene politike za djela mučenja i zlostavljanja koja izvrše državni </w:t>
      </w:r>
      <w:commentRangeStart w:id="37"/>
      <w:r w:rsidRPr="002A0513">
        <w:rPr>
          <w:rFonts w:ascii="Cambria" w:hAnsi="Cambria"/>
        </w:rPr>
        <w:t>službenici</w:t>
      </w:r>
      <w:commentRangeEnd w:id="37"/>
      <w:r w:rsidR="002E5361">
        <w:rPr>
          <w:rStyle w:val="CommentReference"/>
          <w:rFonts w:ascii="Calibri" w:hAnsi="Calibri"/>
          <w:lang w:val="en-US" w:eastAsia="en-US"/>
        </w:rPr>
        <w:commentReference w:id="37"/>
      </w:r>
      <w:r w:rsidRPr="002A0513">
        <w:rPr>
          <w:rFonts w:ascii="Cambria" w:hAnsi="Cambria"/>
        </w:rPr>
        <w:t>.</w:t>
      </w:r>
    </w:p>
    <w:p w:rsidR="00751C27" w:rsidRDefault="00751C27" w:rsidP="00751C27">
      <w:pPr>
        <w:ind w:left="720"/>
        <w:jc w:val="both"/>
        <w:rPr>
          <w:rFonts w:ascii="Cambria" w:hAnsi="Cambria"/>
        </w:rPr>
      </w:pPr>
    </w:p>
    <w:p w:rsidR="003A321B" w:rsidRDefault="00751C27" w:rsidP="003A321B">
      <w:pPr>
        <w:ind w:left="720"/>
        <w:jc w:val="both"/>
        <w:rPr>
          <w:rFonts w:ascii="Cambria" w:hAnsi="Cambria"/>
        </w:rPr>
      </w:pPr>
      <w:r w:rsidRPr="002A0513">
        <w:rPr>
          <w:rFonts w:ascii="Cambria" w:hAnsi="Cambria"/>
        </w:rPr>
        <w:t xml:space="preserve">- Izraditi analizu djelotvornosti procesuiranja suđenja za ratne zločine u Crnoj Gori, s aspekta primjene međunarodnog humanitarnog prava i krivičnog prava Crne Gore od strane nadležnog državnog tužilaštva i </w:t>
      </w:r>
      <w:commentRangeStart w:id="38"/>
      <w:r w:rsidRPr="002A0513">
        <w:rPr>
          <w:rFonts w:ascii="Cambria" w:hAnsi="Cambria"/>
        </w:rPr>
        <w:t>sudova</w:t>
      </w:r>
      <w:commentRangeEnd w:id="38"/>
      <w:r w:rsidR="00734AD3">
        <w:rPr>
          <w:rStyle w:val="CommentReference"/>
          <w:rFonts w:ascii="Calibri" w:hAnsi="Calibri"/>
          <w:lang w:val="en-US" w:eastAsia="en-US"/>
        </w:rPr>
        <w:commentReference w:id="38"/>
      </w:r>
      <w:r w:rsidRPr="002A0513">
        <w:rPr>
          <w:rFonts w:ascii="Cambria" w:hAnsi="Cambria"/>
        </w:rPr>
        <w:t>.</w:t>
      </w:r>
    </w:p>
    <w:p w:rsidR="003A321B" w:rsidRDefault="003A321B" w:rsidP="003A321B">
      <w:pPr>
        <w:ind w:left="720"/>
        <w:jc w:val="both"/>
        <w:rPr>
          <w:rFonts w:ascii="Cambria" w:hAnsi="Cambria"/>
        </w:rPr>
      </w:pPr>
    </w:p>
    <w:p w:rsidR="003A321B" w:rsidRPr="003A321B" w:rsidRDefault="003A321B" w:rsidP="00071B5D">
      <w:pPr>
        <w:ind w:left="720"/>
        <w:jc w:val="both"/>
        <w:rPr>
          <w:rFonts w:cs="Calibri"/>
        </w:rPr>
      </w:pPr>
      <w:r w:rsidRPr="003A321B">
        <w:rPr>
          <w:rFonts w:cs="Calibri"/>
        </w:rPr>
        <w:t xml:space="preserve">- HRA predlaže izmjenu Opšteg zakona o obrazovanju i vaspitanju u dijelu koji se odnosi na izbor direktora javnih ustanova, i insistira na decentralizaciji I depolitizaciji njihovog izbora. Takođe, zakonom propisati obavezno usvajanje podzakonskog akta – Protokola za sprječavanje nasilja u školama, kojim bi se propisao i postupak koji je škola dužna da sprovede u slučaju nasilja (ovakav akt postoji u Republici </w:t>
      </w:r>
      <w:commentRangeStart w:id="39"/>
      <w:r w:rsidRPr="003A321B">
        <w:rPr>
          <w:rFonts w:cs="Calibri"/>
        </w:rPr>
        <w:t>Srbiji</w:t>
      </w:r>
      <w:commentRangeEnd w:id="39"/>
      <w:r w:rsidR="00474354">
        <w:rPr>
          <w:rStyle w:val="CommentReference"/>
          <w:rFonts w:ascii="Calibri" w:hAnsi="Calibri"/>
          <w:lang w:val="en-US" w:eastAsia="en-US"/>
        </w:rPr>
        <w:commentReference w:id="39"/>
      </w:r>
      <w:r w:rsidRPr="003A321B">
        <w:rPr>
          <w:rFonts w:cs="Calibri"/>
        </w:rPr>
        <w:t>)</w:t>
      </w:r>
    </w:p>
    <w:p w:rsidR="003A321B" w:rsidRPr="003A321B" w:rsidRDefault="003A321B" w:rsidP="003A321B">
      <w:pPr>
        <w:ind w:left="720"/>
        <w:jc w:val="both"/>
        <w:rPr>
          <w:rFonts w:ascii="Cambria" w:hAnsi="Cambria"/>
        </w:rPr>
      </w:pPr>
    </w:p>
    <w:p w:rsidR="003A321B" w:rsidRPr="00071B5D" w:rsidRDefault="00071B5D" w:rsidP="00071B5D">
      <w:pPr>
        <w:pStyle w:val="ListParagraph"/>
        <w:numPr>
          <w:ilvl w:val="0"/>
          <w:numId w:val="39"/>
        </w:numPr>
        <w:jc w:val="both"/>
        <w:rPr>
          <w:rFonts w:ascii="Cambria" w:hAnsi="Cambria"/>
        </w:rPr>
      </w:pPr>
      <w:r w:rsidRPr="00071B5D">
        <w:rPr>
          <w:rFonts w:ascii="Cambria" w:hAnsi="Cambria"/>
        </w:rPr>
        <w:lastRenderedPageBreak/>
        <w:t>Izmjenom odgovarajućeg propisa o</w:t>
      </w:r>
      <w:r w:rsidR="003A321B" w:rsidRPr="00071B5D">
        <w:rPr>
          <w:rFonts w:ascii="Cambria" w:hAnsi="Cambria"/>
        </w:rPr>
        <w:t xml:space="preserve">mogućiti i nedržavljanima Crne Gore da učestvuju u radnim grupama Vlade Crne Gore, posebno imajući u vidu da je Crna Gora mala država kojoj nedostaju dovoljni stručni kapaciteti. </w:t>
      </w:r>
      <w:r w:rsidRPr="00071B5D">
        <w:rPr>
          <w:rFonts w:ascii="Cambria" w:hAnsi="Cambria"/>
        </w:rPr>
        <w:t>R</w:t>
      </w:r>
      <w:r w:rsidR="003A321B" w:rsidRPr="00071B5D">
        <w:rPr>
          <w:rFonts w:ascii="Cambria" w:hAnsi="Cambria"/>
        </w:rPr>
        <w:t xml:space="preserve">azmotriti </w:t>
      </w:r>
      <w:r w:rsidRPr="00071B5D">
        <w:rPr>
          <w:rFonts w:ascii="Cambria" w:hAnsi="Cambria"/>
        </w:rPr>
        <w:t xml:space="preserve">i </w:t>
      </w:r>
      <w:r w:rsidR="003A321B" w:rsidRPr="00071B5D">
        <w:rPr>
          <w:rFonts w:ascii="Cambria" w:hAnsi="Cambria"/>
        </w:rPr>
        <w:t>izmjene Zakona o državljanstvu Crne Gore,</w:t>
      </w:r>
      <w:r w:rsidRPr="00071B5D">
        <w:rPr>
          <w:rFonts w:ascii="Cambria" w:hAnsi="Cambria"/>
        </w:rPr>
        <w:t xml:space="preserve"> koji predviđaznatno restriktivnije uslove za sticanje državljanstva</w:t>
      </w:r>
      <w:r w:rsidR="003A321B" w:rsidRPr="00071B5D">
        <w:rPr>
          <w:rFonts w:ascii="Cambria" w:hAnsi="Cambria"/>
        </w:rPr>
        <w:t xml:space="preserve"> od zakona drugih malih država</w:t>
      </w:r>
      <w:r w:rsidRPr="00071B5D">
        <w:rPr>
          <w:rFonts w:ascii="Cambria" w:hAnsi="Cambria"/>
        </w:rPr>
        <w:t xml:space="preserve"> (pogotovo za djecu svojih </w:t>
      </w:r>
      <w:commentRangeStart w:id="40"/>
      <w:r w:rsidRPr="00071B5D">
        <w:rPr>
          <w:rFonts w:ascii="Cambria" w:hAnsi="Cambria"/>
        </w:rPr>
        <w:t>državljana</w:t>
      </w:r>
      <w:commentRangeEnd w:id="40"/>
      <w:r w:rsidR="00474354">
        <w:rPr>
          <w:rStyle w:val="CommentReference"/>
          <w:rFonts w:ascii="Calibri" w:hAnsi="Calibri"/>
          <w:lang w:val="en-US" w:eastAsia="en-US"/>
        </w:rPr>
        <w:commentReference w:id="40"/>
      </w:r>
      <w:r w:rsidRPr="00071B5D">
        <w:rPr>
          <w:rFonts w:ascii="Cambria" w:hAnsi="Cambria"/>
        </w:rPr>
        <w:t>)</w:t>
      </w:r>
      <w:r w:rsidR="003A321B" w:rsidRPr="00071B5D">
        <w:rPr>
          <w:rFonts w:ascii="Cambria" w:hAnsi="Cambria"/>
        </w:rPr>
        <w:t>.</w:t>
      </w:r>
    </w:p>
    <w:p w:rsidR="00071B5D" w:rsidRDefault="00071B5D" w:rsidP="00071B5D">
      <w:pPr>
        <w:jc w:val="both"/>
        <w:rPr>
          <w:rFonts w:ascii="Cambria" w:hAnsi="Cambria"/>
        </w:rPr>
      </w:pPr>
    </w:p>
    <w:p w:rsidR="00EB3C97" w:rsidRPr="00EB3C97" w:rsidRDefault="00EB3C97" w:rsidP="00EB3C97">
      <w:pPr>
        <w:jc w:val="both"/>
        <w:rPr>
          <w:rFonts w:ascii="Cambria" w:hAnsi="Cambria"/>
        </w:rPr>
      </w:pPr>
      <w:r w:rsidRPr="00EB3C97">
        <w:rPr>
          <w:rFonts w:ascii="Cambria" w:hAnsi="Cambria"/>
        </w:rPr>
        <w:t>U odnosu na mjeru 3.4.2 Formirati Vladinu Komisiju za praćenje postupanja nadležnih organa u istragama starih i nedavnih slučajeva prijetnji i nasilja nad novinarima i ubistava</w:t>
      </w:r>
    </w:p>
    <w:p w:rsidR="00071B5D" w:rsidRPr="00EB3C97" w:rsidRDefault="00EB3C97" w:rsidP="00EB3C97">
      <w:pPr>
        <w:jc w:val="both"/>
        <w:rPr>
          <w:rFonts w:ascii="Cambria" w:hAnsi="Cambria"/>
          <w:color w:val="FF0000"/>
        </w:rPr>
      </w:pPr>
      <w:r w:rsidRPr="00EB3C97">
        <w:rPr>
          <w:rFonts w:ascii="Cambria" w:hAnsi="Cambria"/>
        </w:rPr>
        <w:t>novinara sačinjenu od predstavnika Ministarstva unutrašnjih poslova, tužilaštva, policije, NVO i medija, koja će imati za cilj da kroz saradnju sa nadležnim organima prikupi i razmotri svu relevatnu dokumentaciju na osnovu koje će istražiti razloge za nerasvijetljena ubistva novinara.</w:t>
      </w:r>
      <w:r>
        <w:rPr>
          <w:rFonts w:ascii="Cambria" w:hAnsi="Cambria"/>
        </w:rPr>
        <w:t xml:space="preserve"> – </w:t>
      </w:r>
      <w:r>
        <w:rPr>
          <w:rFonts w:ascii="Cambria" w:hAnsi="Cambria"/>
          <w:color w:val="FF0000"/>
        </w:rPr>
        <w:t xml:space="preserve">Nije usvojen HRA predlog da Skupština </w:t>
      </w:r>
      <w:r w:rsidRPr="00EB3C97">
        <w:rPr>
          <w:rFonts w:ascii="Cambria" w:hAnsi="Cambria"/>
          <w:color w:val="FF0000"/>
        </w:rPr>
        <w:t>osniva</w:t>
      </w:r>
      <w:r>
        <w:rPr>
          <w:rFonts w:ascii="Cambria" w:hAnsi="Cambria"/>
          <w:color w:val="FF0000"/>
        </w:rPr>
        <w:t xml:space="preserve"> komisiju</w:t>
      </w:r>
      <w:r w:rsidRPr="00EB3C97">
        <w:rPr>
          <w:rFonts w:ascii="Cambria" w:hAnsi="Cambria"/>
          <w:color w:val="FF0000"/>
        </w:rPr>
        <w:t xml:space="preserve"> za provjeru djelotvornosti istraga nasilja prema novinarima</w:t>
      </w:r>
      <w:r>
        <w:rPr>
          <w:rFonts w:ascii="Cambria" w:hAnsi="Cambria"/>
          <w:color w:val="FF0000"/>
        </w:rPr>
        <w:t>.</w:t>
      </w:r>
      <w:bookmarkStart w:id="41" w:name="_GoBack"/>
      <w:bookmarkEnd w:id="41"/>
    </w:p>
    <w:p w:rsidR="004E6520" w:rsidRDefault="004E6520" w:rsidP="00071B5D">
      <w:pPr>
        <w:jc w:val="both"/>
        <w:rPr>
          <w:rFonts w:ascii="Cambria" w:hAnsi="Cambria"/>
        </w:rPr>
      </w:pPr>
    </w:p>
    <w:p w:rsidR="00071B5D" w:rsidRDefault="00071B5D" w:rsidP="00071B5D">
      <w:pPr>
        <w:jc w:val="both"/>
        <w:rPr>
          <w:rFonts w:ascii="Cambria" w:hAnsi="Cambria"/>
        </w:rPr>
      </w:pPr>
    </w:p>
    <w:p w:rsidR="00071B5D" w:rsidRDefault="00071B5D" w:rsidP="00071B5D">
      <w:pPr>
        <w:jc w:val="both"/>
        <w:rPr>
          <w:rFonts w:ascii="Cambria" w:hAnsi="Cambria"/>
        </w:rPr>
      </w:pPr>
    </w:p>
    <w:p w:rsidR="00071B5D" w:rsidRDefault="00071B5D" w:rsidP="00071B5D">
      <w:pPr>
        <w:jc w:val="both"/>
        <w:rPr>
          <w:rFonts w:ascii="Cambria" w:hAnsi="Cambria"/>
        </w:rPr>
      </w:pPr>
      <w:r>
        <w:rPr>
          <w:rFonts w:ascii="Cambria" w:hAnsi="Cambria"/>
        </w:rPr>
        <w:t>S poštovanjem,</w:t>
      </w:r>
    </w:p>
    <w:p w:rsidR="00071B5D" w:rsidRDefault="00071B5D" w:rsidP="00071B5D">
      <w:pPr>
        <w:jc w:val="both"/>
        <w:rPr>
          <w:rFonts w:ascii="Cambria" w:hAnsi="Cambria"/>
        </w:rPr>
      </w:pPr>
    </w:p>
    <w:p w:rsidR="00071B5D" w:rsidRDefault="00071B5D" w:rsidP="00071B5D">
      <w:pPr>
        <w:jc w:val="both"/>
        <w:rPr>
          <w:rFonts w:ascii="Cambria" w:hAnsi="Cambria"/>
        </w:rPr>
      </w:pPr>
    </w:p>
    <w:p w:rsidR="00071B5D" w:rsidRDefault="00071B5D" w:rsidP="00071B5D">
      <w:pPr>
        <w:jc w:val="both"/>
        <w:rPr>
          <w:rFonts w:ascii="Cambria" w:hAnsi="Cambria"/>
        </w:rPr>
      </w:pPr>
      <w:r>
        <w:rPr>
          <w:rFonts w:ascii="Cambria" w:hAnsi="Cambria"/>
        </w:rPr>
        <w:t>Tea Gorjanc-Prelević,</w:t>
      </w:r>
    </w:p>
    <w:p w:rsidR="00071B5D" w:rsidRPr="00071B5D" w:rsidRDefault="00071B5D" w:rsidP="00071B5D">
      <w:pPr>
        <w:jc w:val="both"/>
        <w:rPr>
          <w:rFonts w:ascii="Cambria" w:hAnsi="Cambria"/>
        </w:rPr>
      </w:pPr>
      <w:r>
        <w:rPr>
          <w:rFonts w:ascii="Cambria" w:hAnsi="Cambria"/>
        </w:rPr>
        <w:t>Izvršna direktorica HRA</w:t>
      </w:r>
    </w:p>
    <w:p w:rsidR="00751C27" w:rsidRPr="002A0513" w:rsidRDefault="00751C27" w:rsidP="00751C27">
      <w:pPr>
        <w:ind w:left="720"/>
        <w:jc w:val="both"/>
        <w:rPr>
          <w:rFonts w:ascii="Cambria" w:hAnsi="Cambria"/>
        </w:rPr>
      </w:pPr>
    </w:p>
    <w:p w:rsidR="00751C27" w:rsidRPr="002A0513" w:rsidRDefault="00751C27" w:rsidP="00751C27">
      <w:pPr>
        <w:pStyle w:val="ColorfulList-Accent11"/>
        <w:rPr>
          <w:rFonts w:ascii="Cambria" w:eastAsia="Calibri" w:hAnsi="Cambria"/>
          <w:lang w:val="sr-Latn-CS" w:eastAsia="en-US"/>
        </w:rPr>
      </w:pPr>
    </w:p>
    <w:p w:rsidR="00751C27" w:rsidRPr="002A0513" w:rsidRDefault="00751C27" w:rsidP="00751C27">
      <w:pPr>
        <w:ind w:left="1080" w:right="4"/>
        <w:jc w:val="both"/>
        <w:rPr>
          <w:rFonts w:ascii="Cambria" w:eastAsia="Calibri" w:hAnsi="Cambria"/>
          <w:lang w:val="sr-Latn-CS" w:eastAsia="en-US"/>
        </w:rPr>
      </w:pPr>
    </w:p>
    <w:sectPr w:rsidR="00751C27" w:rsidRPr="002A0513" w:rsidSect="00751C27">
      <w:footerReference w:type="even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Prelevic Dsc" w:date="2013-07-03T14:31:00Z" w:initials="PD">
    <w:p w:rsidR="007515A0" w:rsidRDefault="007515A0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" w:author="Prelevic Dsc" w:date="2013-07-03T14:38:00Z" w:initials="PD">
    <w:p w:rsidR="00F9474D" w:rsidRDefault="00F9474D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2" w:author="Prelevic Dsc" w:date="2013-07-03T15:05:00Z" w:initials="PD">
    <w:p w:rsidR="004C65E5" w:rsidRDefault="004C65E5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" w:author="Prelevic Dsc" w:date="2013-07-04T15:17:00Z" w:initials="PD">
    <w:p w:rsidR="00CD2E5E" w:rsidRDefault="00CD2E5E" w:rsidP="00CD2E5E">
      <w:pPr>
        <w:pStyle w:val="CommentText"/>
      </w:pPr>
      <w:r>
        <w:rPr>
          <w:rStyle w:val="CommentReference"/>
        </w:rPr>
        <w:annotationRef/>
      </w:r>
      <w:r>
        <w:t>Preporuka je</w:t>
      </w:r>
      <w:r w:rsidR="00D45C9B">
        <w:t xml:space="preserve"> djelimično primjenjena. U </w:t>
      </w:r>
      <w:r>
        <w:t xml:space="preserve"> cilju stvaranja daljih uslova da ustavna zalba postane efikasan pravni lijek predviđene su izmjene Ustava u dijelu koji se odnosi na sastav i izbor sudija Ustavnog suda i</w:t>
      </w:r>
    </w:p>
    <w:p w:rsidR="00CD2E5E" w:rsidRDefault="00CD2E5E" w:rsidP="00CD2E5E">
      <w:pPr>
        <w:pStyle w:val="CommentText"/>
      </w:pPr>
      <w:r>
        <w:t>predsjednika Ustavnog suda i funkcionalnog sastava suda za odlučivanje po ustavnim žalbama (aktivnost predviđena u oblasti Nezavisnost pravosuđa mjere 1.1.1.1 i</w:t>
      </w:r>
    </w:p>
    <w:p w:rsidR="00CD2E5E" w:rsidRDefault="00CD2E5E" w:rsidP="00CD2E5E">
      <w:pPr>
        <w:pStyle w:val="CommentText"/>
      </w:pPr>
      <w:r>
        <w:t xml:space="preserve">1.1.2.6 ). </w:t>
      </w:r>
      <w:r w:rsidR="00233685">
        <w:t>Takođe, dodate su 3 mjere/aktivnosti i to:</w:t>
      </w:r>
    </w:p>
    <w:p w:rsidR="00233685" w:rsidRDefault="00233685" w:rsidP="00233685">
      <w:pPr>
        <w:pStyle w:val="CommentText"/>
        <w:jc w:val="both"/>
      </w:pPr>
      <w:r>
        <w:t>3.2.1 Vršiti obuke sudija redovnih sudova o</w:t>
      </w:r>
    </w:p>
    <w:p w:rsidR="00233685" w:rsidRDefault="00233685" w:rsidP="00233685">
      <w:pPr>
        <w:pStyle w:val="CommentText"/>
        <w:jc w:val="both"/>
      </w:pPr>
      <w:r>
        <w:t>dejstvu i praksi odluka Ustavnog suda o</w:t>
      </w:r>
    </w:p>
    <w:p w:rsidR="00233685" w:rsidRDefault="00233685" w:rsidP="00233685">
      <w:pPr>
        <w:pStyle w:val="CommentText"/>
        <w:jc w:val="both"/>
      </w:pPr>
      <w:r>
        <w:t>ustavnoj žalbi;</w:t>
      </w:r>
    </w:p>
    <w:p w:rsidR="00233685" w:rsidRDefault="00233685" w:rsidP="00233685">
      <w:pPr>
        <w:pStyle w:val="CommentText"/>
        <w:jc w:val="both"/>
      </w:pPr>
      <w:r>
        <w:t>3.2.2 Vršiti obuku sudija Ustavnog suda i</w:t>
      </w:r>
    </w:p>
    <w:p w:rsidR="00233685" w:rsidRDefault="00233685" w:rsidP="00233685">
      <w:pPr>
        <w:pStyle w:val="CommentText"/>
        <w:jc w:val="both"/>
      </w:pPr>
      <w:r>
        <w:t>savjetnika o korišćenju pretraživača</w:t>
      </w:r>
    </w:p>
    <w:p w:rsidR="00233685" w:rsidRDefault="00233685" w:rsidP="00233685">
      <w:pPr>
        <w:pStyle w:val="CommentText"/>
        <w:jc w:val="both"/>
      </w:pPr>
      <w:r>
        <w:t>prakse Evropskog suda za ljudska prava</w:t>
      </w:r>
    </w:p>
    <w:p w:rsidR="00233685" w:rsidRDefault="00233685" w:rsidP="00233685">
      <w:pPr>
        <w:pStyle w:val="CommentText"/>
        <w:jc w:val="both"/>
      </w:pPr>
      <w:r>
        <w:t>– HUDOC i relevantnim presudama</w:t>
      </w:r>
    </w:p>
    <w:p w:rsidR="00233685" w:rsidRDefault="00233685" w:rsidP="00233685">
      <w:pPr>
        <w:pStyle w:val="CommentText"/>
        <w:jc w:val="both"/>
      </w:pPr>
      <w:r>
        <w:t>ovog suda,</w:t>
      </w:r>
    </w:p>
    <w:p w:rsidR="00233685" w:rsidRDefault="00233685" w:rsidP="00233685">
      <w:pPr>
        <w:pStyle w:val="CommentText"/>
        <w:jc w:val="both"/>
      </w:pPr>
      <w:r>
        <w:t>3.2.3 Pratiti primjenu Zakona o zaštiti prava</w:t>
      </w:r>
    </w:p>
    <w:p w:rsidR="00233685" w:rsidRDefault="00233685" w:rsidP="00233685">
      <w:pPr>
        <w:pStyle w:val="CommentText"/>
        <w:jc w:val="both"/>
      </w:pPr>
      <w:r>
        <w:t>na suđenje u razumnom roku</w:t>
      </w:r>
    </w:p>
  </w:comment>
  <w:comment w:id="4" w:author="owner" w:date="2013-07-09T13:42:00Z" w:initials="o">
    <w:p w:rsidR="00175BD4" w:rsidRDefault="00175BD4">
      <w:pPr>
        <w:pStyle w:val="CommentText"/>
      </w:pPr>
      <w:r>
        <w:rPr>
          <w:rStyle w:val="CommentReference"/>
        </w:rPr>
        <w:annotationRef/>
      </w:r>
      <w:r>
        <w:t xml:space="preserve">U okviru preporuke 3.3 nije pomenut projekat </w:t>
      </w:r>
      <w:r w:rsidRPr="00175BD4">
        <w:t>”Monitoring poštovanja ljudskih prava u ustanovama zatvorenog tipa u Crnoj Gori”</w:t>
      </w:r>
      <w:r>
        <w:t>.</w:t>
      </w:r>
    </w:p>
  </w:comment>
  <w:comment w:id="5" w:author="Prelevic Dsc" w:date="2013-07-04T15:04:00Z" w:initials="PD">
    <w:p w:rsidR="009A0BE9" w:rsidRDefault="009A0BE9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6" w:author="Prelevic Dsc" w:date="2013-07-09T13:42:00Z" w:initials="PD">
    <w:p w:rsidR="009A0BE9" w:rsidRDefault="009A0BE9" w:rsidP="00D45C9B">
      <w:pPr>
        <w:pStyle w:val="CommentText"/>
      </w:pPr>
      <w:r>
        <w:rPr>
          <w:rStyle w:val="CommentReference"/>
        </w:rPr>
        <w:annotationRef/>
      </w:r>
      <w:r w:rsidR="00D45C9B">
        <w:t xml:space="preserve">Preporuka </w:t>
      </w:r>
      <w:r w:rsidR="00794B04">
        <w:t>je djelimično primjenjena u okviru mjera:</w:t>
      </w:r>
    </w:p>
    <w:p w:rsidR="00794B04" w:rsidRDefault="00794B04" w:rsidP="00794B04">
      <w:pPr>
        <w:pStyle w:val="CommentText"/>
      </w:pPr>
      <w:r>
        <w:t xml:space="preserve">3.2.23 Donijeti Zakon o izvršenju uslovne osude </w:t>
      </w:r>
      <w:r w:rsidR="00175BD4">
        <w:t>i</w:t>
      </w:r>
      <w:r>
        <w:t xml:space="preserve"> kazne rada u javnom interesu kojim će se obezbijediti usklađenost sa “Evropskim probacionim pravilima”;</w:t>
      </w:r>
    </w:p>
    <w:p w:rsidR="00794B04" w:rsidRDefault="00794B04" w:rsidP="00794B04">
      <w:pPr>
        <w:pStyle w:val="CommentText"/>
      </w:pPr>
      <w:r>
        <w:t>3.2.24 Implementacija Zakona o izvršenju uslovne osude i kazne rada u javnom interesu</w:t>
      </w:r>
    </w:p>
  </w:comment>
  <w:comment w:id="7" w:author="Prelevic Dsc" w:date="2013-07-04T16:02:00Z" w:initials="PD">
    <w:p w:rsidR="00D45C9B" w:rsidRDefault="00D45C9B" w:rsidP="00220E33">
      <w:pPr>
        <w:pStyle w:val="CommentText"/>
      </w:pPr>
      <w:r>
        <w:rPr>
          <w:rStyle w:val="CommentReference"/>
        </w:rPr>
        <w:annotationRef/>
      </w:r>
      <w:r>
        <w:t>Preporuka je djelimično primj</w:t>
      </w:r>
      <w:r w:rsidR="00220E33">
        <w:t>enjena u okviru m</w:t>
      </w:r>
      <w:r>
        <w:t>jer</w:t>
      </w:r>
      <w:r w:rsidR="00220E33">
        <w:t>e</w:t>
      </w:r>
      <w:r>
        <w:t xml:space="preserve"> 3.3.</w:t>
      </w:r>
      <w:r w:rsidR="00FF0A70">
        <w:t xml:space="preserve">4 </w:t>
      </w:r>
      <w:r w:rsidR="00220E33">
        <w:t xml:space="preserve">koja </w:t>
      </w:r>
      <w:r w:rsidR="00FF0A70">
        <w:t>predviđa</w:t>
      </w:r>
      <w:r w:rsidR="00220E33">
        <w:t xml:space="preserve"> izgradnju Zatvora Bijelo Polje i mjere 3.3.98 koja predviđa adaptaciju Paviljona A u Kaznenopopravnom domu za duge kazne u Zavodu za izvršenje krivičnih sankcija Spuž.</w:t>
      </w:r>
    </w:p>
  </w:comment>
  <w:comment w:id="8" w:author="Prelevic Dsc" w:date="2013-07-04T15:50:00Z" w:initials="PD">
    <w:p w:rsidR="00704D33" w:rsidRDefault="00704D33" w:rsidP="00704D33">
      <w:pPr>
        <w:pStyle w:val="CommentText"/>
      </w:pPr>
      <w:r>
        <w:rPr>
          <w:rStyle w:val="CommentReference"/>
        </w:rPr>
        <w:annotationRef/>
      </w:r>
      <w:r>
        <w:t>Preporuka je primjenjena u okviru mjere 3.3.8 (Donijeti Uputstvo o zdravstvenom pregledu</w:t>
      </w:r>
    </w:p>
    <w:p w:rsidR="00704D33" w:rsidRDefault="00704D33" w:rsidP="00704D33">
      <w:pPr>
        <w:pStyle w:val="CommentText"/>
      </w:pPr>
      <w:r>
        <w:t>u Zavodu za izvršenje krivičnih sankcija).</w:t>
      </w:r>
    </w:p>
  </w:comment>
  <w:comment w:id="9" w:author="Prelevic Dsc" w:date="2013-07-04T16:35:00Z" w:initials="PD">
    <w:p w:rsidR="00220E33" w:rsidRDefault="00220E33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0" w:author="Prelevic Dsc" w:date="2013-07-05T10:04:00Z" w:initials="PD">
    <w:p w:rsidR="00250B1B" w:rsidRDefault="00250B1B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1" w:author="Prelevic Dsc" w:date="2013-07-09T11:43:00Z" w:initials="PD">
    <w:p w:rsidR="00250B1B" w:rsidRPr="00250B1B" w:rsidRDefault="00250B1B" w:rsidP="00250B1B">
      <w:pPr>
        <w:pStyle w:val="CommentText"/>
      </w:pPr>
      <w:r>
        <w:rPr>
          <w:rStyle w:val="CommentReference"/>
        </w:rPr>
        <w:annotationRef/>
      </w:r>
      <w:r>
        <w:t>Preporuka je djelimično ispunjenja, a obzirom da je o</w:t>
      </w:r>
      <w:r w:rsidR="009C0E4C">
        <w:t xml:space="preserve">ve godine </w:t>
      </w:r>
      <w:r w:rsidRPr="00250B1B">
        <w:t>poče</w:t>
      </w:r>
      <w:r w:rsidR="009C0E4C">
        <w:t>l</w:t>
      </w:r>
      <w:r>
        <w:t>a</w:t>
      </w:r>
      <w:r w:rsidR="00E35F37">
        <w:t xml:space="preserve"> rekonstrukcija </w:t>
      </w:r>
      <w:r w:rsidRPr="00250B1B">
        <w:t>poluotvorenog odjeljenja zatvora u Bijelom Polju,za koje su obezbijeđena budžetska sredstva (kapitalni budžet) u 2013. godini u</w:t>
      </w:r>
    </w:p>
    <w:p w:rsidR="00250B1B" w:rsidRDefault="00250B1B" w:rsidP="00250B1B">
      <w:pPr>
        <w:pStyle w:val="CommentText"/>
      </w:pPr>
      <w:r w:rsidRPr="00250B1B">
        <w:t>iznosu od 100 000€.</w:t>
      </w:r>
    </w:p>
  </w:comment>
  <w:comment w:id="12" w:author="Prelevic Dsc" w:date="2013-07-09T13:56:00Z" w:initials="PD">
    <w:p w:rsidR="00D21360" w:rsidRDefault="00794B04" w:rsidP="00D21360">
      <w:pPr>
        <w:pStyle w:val="CommentText"/>
      </w:pPr>
      <w:r>
        <w:rPr>
          <w:rStyle w:val="CommentReference"/>
        </w:rPr>
        <w:annotationRef/>
      </w:r>
      <w:r w:rsidR="00E35F37">
        <w:t>Preporuka nije primjenjena</w:t>
      </w:r>
      <w:r>
        <w:t>.</w:t>
      </w:r>
      <w:r w:rsidR="00D21360">
        <w:t xml:space="preserve"> Ipak u preporuci 3.3 se pominje da je u prvoj polovini 2013. godine, izvršena  rekonstrukcija Istražnog zatvora i Zatvora za kratke kazne u Podgorici. Na taj način značajno su poboljšani smještajni kapaciteti</w:t>
      </w:r>
    </w:p>
    <w:p w:rsidR="00794B04" w:rsidRDefault="00D21360" w:rsidP="00D21360">
      <w:pPr>
        <w:pStyle w:val="CommentText"/>
      </w:pPr>
      <w:r>
        <w:t>ovih zatvorskih jedinica. Posebno su renovirani sanitarni prostori i unaprijeđena elektro i vodovodna instalacija, a cijena izvršenih radova je 300 000€.</w:t>
      </w:r>
    </w:p>
  </w:comment>
  <w:comment w:id="13" w:author="Prelevic Dsc" w:date="2013-07-05T10:46:00Z" w:initials="PD">
    <w:p w:rsidR="00C15562" w:rsidRDefault="00C15562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4" w:author="Prelevic Dsc" w:date="2013-07-05T10:51:00Z" w:initials="PD">
    <w:p w:rsidR="006E7A1E" w:rsidRDefault="006E7A1E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5" w:author="Prelevic Dsc" w:date="2013-07-05T10:58:00Z" w:initials="PD">
    <w:p w:rsidR="006E7A1E" w:rsidRDefault="006E7A1E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16" w:author="Prelevic Dsc" w:date="2013-07-09T11:44:00Z" w:initials="PD">
    <w:p w:rsidR="00604180" w:rsidRDefault="00604180">
      <w:pPr>
        <w:pStyle w:val="CommentText"/>
      </w:pPr>
      <w:r>
        <w:rPr>
          <w:rStyle w:val="CommentReference"/>
        </w:rPr>
        <w:annotationRef/>
      </w:r>
      <w:r w:rsidR="00E35F37">
        <w:t>Preporuka nije primjenjena</w:t>
      </w:r>
      <w:r>
        <w:t>.</w:t>
      </w:r>
    </w:p>
  </w:comment>
  <w:comment w:id="17" w:author="Prelevic Dsc" w:date="2013-07-09T11:44:00Z" w:initials="PD">
    <w:p w:rsidR="00604180" w:rsidRDefault="00604180">
      <w:pPr>
        <w:pStyle w:val="CommentText"/>
      </w:pPr>
      <w:r>
        <w:rPr>
          <w:rStyle w:val="CommentReference"/>
        </w:rPr>
        <w:annotationRef/>
      </w:r>
      <w:r w:rsidR="00E35F37">
        <w:t>Preporuka nije primjenjena</w:t>
      </w:r>
      <w:r>
        <w:t>.</w:t>
      </w:r>
    </w:p>
  </w:comment>
  <w:comment w:id="18" w:author="Prelevic Dsc" w:date="2013-07-09T11:45:00Z" w:initials="PD">
    <w:p w:rsidR="00604180" w:rsidRDefault="00604180">
      <w:pPr>
        <w:pStyle w:val="CommentText"/>
      </w:pPr>
      <w:r>
        <w:rPr>
          <w:rStyle w:val="CommentReference"/>
        </w:rPr>
        <w:annotationRef/>
      </w:r>
      <w:r>
        <w:t>Preporuk</w:t>
      </w:r>
      <w:r w:rsidR="00545D80">
        <w:t xml:space="preserve">a </w:t>
      </w:r>
      <w:r w:rsidR="00E35F37">
        <w:t>nije primje</w:t>
      </w:r>
      <w:r>
        <w:t>njena.</w:t>
      </w:r>
    </w:p>
  </w:comment>
  <w:comment w:id="19" w:author="owner" w:date="2013-07-09T14:15:00Z" w:initials="o">
    <w:p w:rsidR="0072259C" w:rsidRDefault="0072259C">
      <w:pPr>
        <w:pStyle w:val="CommentText"/>
      </w:pPr>
      <w:r>
        <w:rPr>
          <w:rStyle w:val="CommentReference"/>
        </w:rPr>
        <w:annotationRef/>
      </w:r>
      <w:r w:rsidRPr="0072259C">
        <w:t>Preporuka nije primjenjena</w:t>
      </w:r>
      <w:r>
        <w:t>.</w:t>
      </w:r>
    </w:p>
  </w:comment>
  <w:comment w:id="20" w:author="Prelevic Dsc" w:date="2013-07-05T11:47:00Z" w:initials="PD">
    <w:p w:rsidR="00775897" w:rsidRDefault="00775897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21" w:author="Prelevic Dsc" w:date="2013-07-05T11:58:00Z" w:initials="PD">
    <w:p w:rsidR="00775897" w:rsidRDefault="00775897" w:rsidP="00E25177">
      <w:pPr>
        <w:pStyle w:val="CommentText"/>
      </w:pPr>
      <w:r>
        <w:rPr>
          <w:rStyle w:val="CommentReference"/>
        </w:rPr>
        <w:annotationRef/>
      </w:r>
      <w:r w:rsidR="00E25177">
        <w:t>Preporuka je ispunjena u dijelu (mjera 3.3.37) koji se odnosi na stimulisanje postojećeg osoblja, obezbjeđenjem dodatka na mjesecni dohodak svih zaposlenih u SB Dobrota, u iznosu od 15% zbog tezine i uslova rada.</w:t>
      </w:r>
    </w:p>
  </w:comment>
  <w:comment w:id="22" w:author="Prelevic Dsc" w:date="2013-07-05T12:35:00Z" w:initials="PD">
    <w:p w:rsidR="00CB4E65" w:rsidRDefault="00CB4E65" w:rsidP="00CB4E65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eastAsia="en-US"/>
        </w:rPr>
      </w:pPr>
      <w:r>
        <w:rPr>
          <w:rStyle w:val="CommentReference"/>
        </w:rPr>
        <w:annotationRef/>
      </w:r>
      <w:r>
        <w:t xml:space="preserve">Predlog je prihvaćen, s obzirom da je u okviru preporuke 3.4 dodat paragraf: </w:t>
      </w:r>
      <w:r>
        <w:rPr>
          <w:rFonts w:ascii="Calibri" w:hAnsi="Calibri" w:cs="Calibri"/>
          <w:sz w:val="21"/>
          <w:szCs w:val="21"/>
          <w:lang w:eastAsia="en-US"/>
        </w:rPr>
        <w:t>Shodno prereporukama 12 i 13 Nacionalne komisije za sprovodjenje Strategije za borbu protiv korupcije i organizovanog kriminala, ovlašćeni policijski službenici Uprave</w:t>
      </w:r>
    </w:p>
    <w:p w:rsidR="00CB4E65" w:rsidRDefault="00CB4E65" w:rsidP="00CB4E65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eastAsia="en-US"/>
        </w:rPr>
      </w:pPr>
      <w:r>
        <w:rPr>
          <w:rFonts w:ascii="Calibri" w:hAnsi="Calibri" w:cs="Calibri"/>
          <w:sz w:val="21"/>
          <w:szCs w:val="21"/>
          <w:lang w:eastAsia="en-US"/>
        </w:rPr>
        <w:t>policije u kontinuitetu preduzimaju planske mjere i radnje na rasvjetljavanju napada na predstavnike medija i pokušaje njihovog zastrašivanja, i otkrivanju izvršilaca i</w:t>
      </w:r>
    </w:p>
    <w:p w:rsidR="00CB4E65" w:rsidRPr="00CB4E65" w:rsidRDefault="00CB4E65" w:rsidP="00CB4E65">
      <w:pPr>
        <w:autoSpaceDE w:val="0"/>
        <w:autoSpaceDN w:val="0"/>
        <w:adjustRightInd w:val="0"/>
        <w:rPr>
          <w:rFonts w:ascii="Calibri" w:hAnsi="Calibri" w:cs="Calibri"/>
          <w:sz w:val="21"/>
          <w:szCs w:val="21"/>
          <w:lang w:eastAsia="en-US"/>
        </w:rPr>
      </w:pPr>
      <w:r>
        <w:rPr>
          <w:rFonts w:ascii="Calibri" w:hAnsi="Calibri" w:cs="Calibri"/>
          <w:sz w:val="21"/>
          <w:szCs w:val="21"/>
          <w:lang w:eastAsia="en-US"/>
        </w:rPr>
        <w:t>nalogodavaca i njihovog procesuiranja nadležnom Državnom tužiocu. U skladu sa zakonskim ovlašćenjima i obavezama, koji se tiču zaštite bezbjednosti gradjana i imovine, Uprava policije će u narednom periodu vršiti analizu procjene rizika, a koji se odnosi na zaposlene u javnim servisima, i u skladu sa tim usmjeravati svoj rad i preduzimati adekvatne mjere i radnje u cilju sprečavanja takvih nezakonitosti kao i intezivirati rad na nerasvijetljenim slučajevima napada na pripadnike novinarske profesije</w:t>
      </w:r>
    </w:p>
  </w:comment>
  <w:comment w:id="23" w:author="Prelevic Dsc" w:date="2013-07-05T12:42:00Z" w:initials="PD">
    <w:p w:rsidR="00EB3C97" w:rsidRDefault="00EB3C97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24" w:author="Prelevic Dsc" w:date="2013-07-05T12:55:00Z" w:initials="PD">
    <w:p w:rsidR="00F42BE4" w:rsidRDefault="00F42BE4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25" w:author="owner" w:date="2013-07-09T14:20:00Z" w:initials="o">
    <w:p w:rsidR="0072259C" w:rsidRDefault="0072259C">
      <w:pPr>
        <w:pStyle w:val="CommentText"/>
      </w:pPr>
      <w:r>
        <w:rPr>
          <w:rStyle w:val="CommentReference"/>
        </w:rPr>
        <w:annotationRef/>
      </w:r>
      <w:r w:rsidRPr="0072259C">
        <w:t xml:space="preserve">U okviru </w:t>
      </w:r>
      <w:r>
        <w:t xml:space="preserve">ove mjere </w:t>
      </w:r>
      <w:r w:rsidRPr="0072259C">
        <w:t>nije pomenut projekat"Monitoring novinarskih samoregulatornih tijela u Crnoj Gori".</w:t>
      </w:r>
    </w:p>
  </w:comment>
  <w:comment w:id="26" w:author="Prelevic Dsc" w:date="2013-07-05T13:06:00Z" w:initials="PD">
    <w:p w:rsidR="0040179C" w:rsidRDefault="0040179C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27" w:author="Prelevic Dsc" w:date="2013-07-05T13:09:00Z" w:initials="PD">
    <w:p w:rsidR="0040179C" w:rsidRDefault="0040179C">
      <w:pPr>
        <w:pStyle w:val="CommentText"/>
      </w:pPr>
      <w:r>
        <w:rPr>
          <w:rStyle w:val="CommentReference"/>
        </w:rPr>
        <w:annotationRef/>
      </w:r>
      <w:r w:rsidRPr="0040179C">
        <w:t>Preporuka nije primjenjena.</w:t>
      </w:r>
    </w:p>
  </w:comment>
  <w:comment w:id="28" w:author="Prelevic Dsc" w:date="2013-07-05T13:20:00Z" w:initials="PD">
    <w:p w:rsidR="00D4557E" w:rsidRDefault="00D4557E">
      <w:pPr>
        <w:pStyle w:val="CommentText"/>
      </w:pPr>
      <w:r>
        <w:rPr>
          <w:rStyle w:val="CommentReference"/>
        </w:rPr>
        <w:annotationRef/>
      </w:r>
      <w:r w:rsidRPr="00D4557E">
        <w:t>Preporuka nije primjenjena</w:t>
      </w:r>
      <w:r>
        <w:t>.</w:t>
      </w:r>
    </w:p>
  </w:comment>
  <w:comment w:id="29" w:author="Prelevic Dsc" w:date="2013-07-08T09:55:00Z" w:initials="PD">
    <w:p w:rsidR="00327FC7" w:rsidRDefault="00327FC7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0" w:author="Prelevic Dsc" w:date="2013-07-08T10:27:00Z" w:initials="PD">
    <w:p w:rsidR="00C3139E" w:rsidRDefault="00C3139E" w:rsidP="00C3139E">
      <w:pPr>
        <w:pStyle w:val="CommentText"/>
      </w:pPr>
      <w:r>
        <w:rPr>
          <w:rStyle w:val="CommentReference"/>
        </w:rPr>
        <w:annotationRef/>
      </w:r>
      <w:r>
        <w:t xml:space="preserve">Preporuka je ispunjena u djelu definisanja tema obuka, </w:t>
      </w:r>
      <w:r w:rsidRPr="00C3139E">
        <w:t>seminara/radionica i treninga</w:t>
      </w:r>
      <w:r>
        <w:t>. Teme se odnose na:</w:t>
      </w:r>
    </w:p>
    <w:p w:rsidR="00C3139E" w:rsidRDefault="00C3139E" w:rsidP="00C3139E">
      <w:pPr>
        <w:pStyle w:val="CommentText"/>
      </w:pPr>
      <w:r>
        <w:t>Pojam i prirodu diskriminacije, opšti pravni režim zaštite od diskriminacije</w:t>
      </w:r>
    </w:p>
    <w:p w:rsidR="00C3139E" w:rsidRDefault="00C3139E" w:rsidP="00C3139E">
      <w:pPr>
        <w:pStyle w:val="CommentText"/>
      </w:pPr>
      <w:r>
        <w:t>posebne oblike diskriminacije prema osobama sa invaliditetom, LGBT populaciji, ženama, oboljelima od HIV-a i hepatitis C.</w:t>
      </w:r>
    </w:p>
    <w:p w:rsidR="00C3139E" w:rsidRDefault="00C3139E" w:rsidP="00C3139E">
      <w:pPr>
        <w:pStyle w:val="CommentText"/>
      </w:pPr>
      <w:r>
        <w:t>Sve obuke baziraju se na standardima definisanim Evropskom poveljom o ljudskim pravima, EKLJP Savjeta Evrope, Konvencijom o pravima osoba sa</w:t>
      </w:r>
    </w:p>
    <w:p w:rsidR="00C3139E" w:rsidRDefault="00C3139E" w:rsidP="00C3139E">
      <w:pPr>
        <w:pStyle w:val="CommentText"/>
      </w:pPr>
      <w:r>
        <w:t>invaliditetom, i relevantnim konvencijama UN-a.</w:t>
      </w:r>
    </w:p>
  </w:comment>
  <w:comment w:id="31" w:author="Prelevic Dsc" w:date="2013-07-08T10:43:00Z" w:initials="PD">
    <w:p w:rsidR="00CE3966" w:rsidRDefault="00CE3966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2" w:author="Prelevic Dsc" w:date="2013-07-08T10:49:00Z" w:initials="PD">
    <w:p w:rsidR="006A2757" w:rsidRDefault="006A2757">
      <w:pPr>
        <w:pStyle w:val="CommentText"/>
      </w:pPr>
      <w:r>
        <w:rPr>
          <w:rStyle w:val="CommentReference"/>
        </w:rPr>
        <w:annotationRef/>
      </w:r>
      <w:r w:rsidRPr="006A2757">
        <w:t>Preporuka nije primjenjena</w:t>
      </w:r>
      <w:r>
        <w:t>.</w:t>
      </w:r>
    </w:p>
  </w:comment>
  <w:comment w:id="33" w:author="owner" w:date="2013-07-08T13:56:00Z" w:initials="o">
    <w:p w:rsidR="00205193" w:rsidRDefault="00205193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4" w:author="owner" w:date="2013-07-08T14:16:00Z" w:initials="o">
    <w:p w:rsidR="00571D81" w:rsidRDefault="00571D81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5" w:author="owner" w:date="2013-07-08T14:23:00Z" w:initials="o">
    <w:p w:rsidR="009B53C8" w:rsidRDefault="009B53C8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36" w:author="owner" w:date="2013-07-08T14:31:00Z" w:initials="o">
    <w:p w:rsidR="00E121A4" w:rsidRDefault="00E121A4">
      <w:pPr>
        <w:pStyle w:val="CommentText"/>
      </w:pPr>
      <w:r>
        <w:rPr>
          <w:rStyle w:val="CommentReference"/>
        </w:rPr>
        <w:annotationRef/>
      </w:r>
      <w:r w:rsidRPr="00E121A4">
        <w:t>Preporuka nije primjenjena.</w:t>
      </w:r>
    </w:p>
  </w:comment>
  <w:comment w:id="37" w:author="owner" w:date="2013-07-08T14:51:00Z" w:initials="o">
    <w:p w:rsidR="002E5361" w:rsidRDefault="002E5361">
      <w:pPr>
        <w:pStyle w:val="CommentText"/>
      </w:pPr>
      <w:r>
        <w:rPr>
          <w:rStyle w:val="CommentReference"/>
        </w:rPr>
        <w:annotationRef/>
      </w:r>
      <w:r w:rsidRPr="002E5361">
        <w:t>Preporuka nije primjenjena.</w:t>
      </w:r>
    </w:p>
  </w:comment>
  <w:comment w:id="38" w:author="owner" w:date="2013-07-08T15:18:00Z" w:initials="o">
    <w:p w:rsidR="00734AD3" w:rsidRDefault="00734AD3" w:rsidP="00734AD3">
      <w:pPr>
        <w:pStyle w:val="CommentText"/>
      </w:pPr>
      <w:r>
        <w:rPr>
          <w:rStyle w:val="CommentReference"/>
        </w:rPr>
        <w:annotationRef/>
      </w:r>
      <w:r>
        <w:t>Preporuka je djelimično primjenjna kroz mjeru 1.5.1 koja glasi: U cilju spriječavanja nekažnjivosti za</w:t>
      </w:r>
    </w:p>
    <w:p w:rsidR="00734AD3" w:rsidRDefault="00734AD3" w:rsidP="00734AD3">
      <w:pPr>
        <w:pStyle w:val="CommentText"/>
      </w:pPr>
      <w:r>
        <w:t>krivična djela ratni zločini pripremiti</w:t>
      </w:r>
    </w:p>
    <w:p w:rsidR="00734AD3" w:rsidRDefault="00734AD3" w:rsidP="00734AD3">
      <w:pPr>
        <w:pStyle w:val="CommentText"/>
      </w:pPr>
      <w:r>
        <w:t>izvještaj koji će sadržati sve podatke i</w:t>
      </w:r>
    </w:p>
    <w:p w:rsidR="00734AD3" w:rsidRDefault="00734AD3" w:rsidP="00734AD3">
      <w:pPr>
        <w:pStyle w:val="CommentText"/>
      </w:pPr>
      <w:r>
        <w:t>informacije o postupanju u predmetima</w:t>
      </w:r>
    </w:p>
    <w:p w:rsidR="00734AD3" w:rsidRDefault="00734AD3" w:rsidP="00734AD3">
      <w:pPr>
        <w:pStyle w:val="CommentText"/>
      </w:pPr>
      <w:r>
        <w:t>ratnih zločina po podnijetim krivičnim</w:t>
      </w:r>
    </w:p>
    <w:p w:rsidR="00734AD3" w:rsidRDefault="00734AD3" w:rsidP="00734AD3">
      <w:pPr>
        <w:pStyle w:val="CommentText"/>
      </w:pPr>
      <w:r>
        <w:t>prijavama i /ili na osnovu neposrednog</w:t>
      </w:r>
    </w:p>
    <w:p w:rsidR="00734AD3" w:rsidRDefault="00734AD3" w:rsidP="00734AD3">
      <w:pPr>
        <w:pStyle w:val="CommentText"/>
      </w:pPr>
      <w:r>
        <w:t>saznanja državnog tužilaštva</w:t>
      </w:r>
    </w:p>
  </w:comment>
  <w:comment w:id="39" w:author="owner" w:date="2013-07-08T15:44:00Z" w:initials="o">
    <w:p w:rsidR="00474354" w:rsidRDefault="00474354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  <w:comment w:id="40" w:author="owner" w:date="2013-07-08T15:49:00Z" w:initials="o">
    <w:p w:rsidR="00474354" w:rsidRDefault="00474354">
      <w:pPr>
        <w:pStyle w:val="CommentText"/>
      </w:pPr>
      <w:r>
        <w:rPr>
          <w:rStyle w:val="CommentReference"/>
        </w:rPr>
        <w:annotationRef/>
      </w:r>
      <w:r>
        <w:t>Preporuka nije primjenjena.</w:t>
      </w:r>
    </w:p>
  </w:comment>
</w:comment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5B55" w:rsidRDefault="008E5B55">
      <w:r>
        <w:separator/>
      </w:r>
    </w:p>
  </w:endnote>
  <w:endnote w:type="continuationSeparator" w:id="1">
    <w:p w:rsidR="008E5B55" w:rsidRDefault="008E5B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 Pro"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B" w:rsidRDefault="00AC4075" w:rsidP="00751C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A321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A321B" w:rsidRDefault="003A321B" w:rsidP="00751C2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A321B" w:rsidRPr="002C0832" w:rsidRDefault="003A321B" w:rsidP="00751C27">
    <w:pPr>
      <w:pStyle w:val="Footer"/>
      <w:framePr w:wrap="around" w:vAnchor="text" w:hAnchor="margin" w:xAlign="right" w:y="1"/>
      <w:rPr>
        <w:rStyle w:val="PageNumber"/>
        <w:lang w:val="en-US"/>
      </w:rPr>
    </w:pPr>
  </w:p>
  <w:p w:rsidR="003A321B" w:rsidRDefault="003A321B" w:rsidP="00751C2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5B55" w:rsidRDefault="008E5B55">
      <w:r>
        <w:separator/>
      </w:r>
    </w:p>
  </w:footnote>
  <w:footnote w:type="continuationSeparator" w:id="1">
    <w:p w:rsidR="008E5B55" w:rsidRDefault="008E5B55">
      <w:r>
        <w:continuationSeparator/>
      </w:r>
    </w:p>
  </w:footnote>
  <w:footnote w:id="2">
    <w:p w:rsidR="003A321B" w:rsidRPr="00C71302" w:rsidRDefault="003A321B">
      <w:pPr>
        <w:pStyle w:val="FootnoteText"/>
        <w:rPr>
          <w:rFonts w:ascii="Cambria" w:hAnsi="Cambria"/>
          <w:sz w:val="20"/>
          <w:szCs w:val="20"/>
          <w:lang w:val="sr-Latn-CS"/>
        </w:rPr>
      </w:pPr>
      <w:r w:rsidRPr="00C71302">
        <w:rPr>
          <w:rStyle w:val="FootnoteReference"/>
          <w:rFonts w:ascii="Cambria" w:hAnsi="Cambria"/>
          <w:sz w:val="20"/>
          <w:szCs w:val="20"/>
        </w:rPr>
        <w:footnoteRef/>
      </w:r>
      <w:r w:rsidRPr="00C71302">
        <w:rPr>
          <w:rFonts w:ascii="Cambria" w:hAnsi="Cambria"/>
          <w:sz w:val="20"/>
          <w:szCs w:val="20"/>
          <w:lang w:val="sr-Latn-CS"/>
        </w:rPr>
        <w:t>Verzija od 13.maja 2013.godine</w:t>
      </w:r>
    </w:p>
  </w:footnote>
  <w:footnote w:id="3">
    <w:p w:rsidR="003A321B" w:rsidRPr="00B63FDA" w:rsidRDefault="003A321B" w:rsidP="002F0886">
      <w:pPr>
        <w:jc w:val="both"/>
        <w:rPr>
          <w:rFonts w:ascii="Cambria" w:hAnsi="Cambria"/>
          <w:sz w:val="20"/>
          <w:szCs w:val="20"/>
          <w:lang w:eastAsia="en-US"/>
        </w:rPr>
      </w:pPr>
      <w:r w:rsidRPr="00B63FDA">
        <w:rPr>
          <w:rStyle w:val="FootnoteReference"/>
          <w:rFonts w:ascii="Cambria" w:hAnsi="Cambria"/>
          <w:sz w:val="20"/>
          <w:szCs w:val="20"/>
        </w:rPr>
        <w:footnoteRef/>
      </w:r>
      <w:r w:rsidRPr="00B63FDA">
        <w:rPr>
          <w:rFonts w:ascii="Cambria" w:hAnsi="Cambria"/>
          <w:sz w:val="20"/>
          <w:szCs w:val="20"/>
          <w:lang w:eastAsia="en-US"/>
        </w:rPr>
        <w:t xml:space="preserve">O tome vidjeti detaljnije u knjizi ”Međunarodni standardi ljudskih prava i ustavne garancije u Crnoj Gori”, Akcija za ljudska prava, Podgorica, februar 2008, strane 45 i 125,dostupno na:  </w:t>
      </w:r>
      <w:hyperlink r:id="rId1" w:history="1">
        <w:r w:rsidRPr="00B63FDA">
          <w:rPr>
            <w:rStyle w:val="Hyperlink"/>
            <w:rFonts w:ascii="Cambria" w:hAnsi="Cambria"/>
            <w:sz w:val="20"/>
            <w:szCs w:val="20"/>
          </w:rPr>
          <w:t>http://www.hraction.org/wp-content/uploads/knjiga-cg.pdf</w:t>
        </w:r>
      </w:hyperlink>
      <w:r w:rsidRPr="00B63FDA">
        <w:rPr>
          <w:rFonts w:ascii="Cambria" w:hAnsi="Cambria"/>
          <w:sz w:val="20"/>
          <w:szCs w:val="20"/>
          <w:lang w:eastAsia="en-US"/>
        </w:rPr>
        <w:t xml:space="preserve">kao i ”Ljudska prava u Crnoj Gori 2010-2011”, HRA, strana 63 i dalje (Pravo na djelotvoran pravni lijek), dostupno na: </w:t>
      </w:r>
      <w:hyperlink r:id="rId2" w:history="1">
        <w:r w:rsidRPr="00B63FDA">
          <w:rPr>
            <w:rStyle w:val="Hyperlink"/>
            <w:rFonts w:ascii="Cambria" w:hAnsi="Cambria"/>
            <w:sz w:val="20"/>
            <w:szCs w:val="20"/>
          </w:rPr>
          <w:t>http://www.hraction.org/wp-content/uploads/Ljudska_prava_u_Crnoj_Gori_2010-2011.pdf</w:t>
        </w:r>
      </w:hyperlink>
    </w:p>
  </w:footnote>
  <w:footnote w:id="4">
    <w:p w:rsidR="003A321B" w:rsidRPr="000C008A" w:rsidRDefault="003A321B" w:rsidP="00751C27">
      <w:pPr>
        <w:pStyle w:val="FootnoteText"/>
        <w:jc w:val="both"/>
        <w:rPr>
          <w:rFonts w:ascii="Cambria" w:hAnsi="Cambria"/>
          <w:sz w:val="20"/>
          <w:szCs w:val="20"/>
          <w:lang w:val="sr-Latn-CS"/>
        </w:rPr>
      </w:pPr>
      <w:r w:rsidRPr="000C008A">
        <w:rPr>
          <w:rStyle w:val="FootnoteReference"/>
          <w:rFonts w:ascii="Cambria" w:hAnsi="Cambria"/>
          <w:sz w:val="20"/>
          <w:szCs w:val="20"/>
        </w:rPr>
        <w:footnoteRef/>
      </w:r>
      <w:r w:rsidRPr="000C008A">
        <w:rPr>
          <w:rFonts w:ascii="Cambria" w:hAnsi="Cambria"/>
          <w:sz w:val="20"/>
          <w:szCs w:val="20"/>
        </w:rPr>
        <w:t xml:space="preserve"> Završni izvještaji su dostupni na </w:t>
      </w:r>
      <w:hyperlink r:id="rId3" w:history="1">
        <w:r w:rsidRPr="000C008A">
          <w:rPr>
            <w:rStyle w:val="Hyperlink"/>
            <w:rFonts w:ascii="Cambria" w:hAnsi="Cambria"/>
            <w:sz w:val="20"/>
            <w:szCs w:val="20"/>
          </w:rPr>
          <w:t>http://www.hraction.org/?p=1154</w:t>
        </w:r>
      </w:hyperlink>
    </w:p>
  </w:footnote>
  <w:footnote w:id="5">
    <w:p w:rsidR="003A321B" w:rsidRPr="000C008A" w:rsidRDefault="003A321B" w:rsidP="00751C27">
      <w:pPr>
        <w:pStyle w:val="FootnoteText"/>
        <w:jc w:val="both"/>
        <w:rPr>
          <w:lang w:val="sr-Latn-CS"/>
        </w:rPr>
      </w:pPr>
      <w:r w:rsidRPr="000C008A">
        <w:rPr>
          <w:rStyle w:val="FootnoteReference"/>
          <w:rFonts w:ascii="Cambria" w:hAnsi="Cambria"/>
          <w:sz w:val="20"/>
          <w:szCs w:val="20"/>
        </w:rPr>
        <w:footnoteRef/>
      </w:r>
      <w:r w:rsidRPr="000C008A">
        <w:rPr>
          <w:rFonts w:ascii="Cambria" w:hAnsi="Cambria"/>
          <w:sz w:val="20"/>
          <w:szCs w:val="20"/>
          <w:lang w:val="en-US"/>
        </w:rPr>
        <w:t>Detaljnije vidjeti</w:t>
      </w:r>
      <w:r w:rsidRPr="000C008A">
        <w:rPr>
          <w:rFonts w:ascii="Cambria" w:hAnsi="Cambria"/>
          <w:sz w:val="20"/>
          <w:szCs w:val="20"/>
          <w:lang w:val="sr-Latn-CS"/>
        </w:rPr>
        <w:t xml:space="preserve">: </w:t>
      </w:r>
      <w:hyperlink r:id="rId4" w:history="1">
        <w:r w:rsidRPr="000C008A">
          <w:rPr>
            <w:rStyle w:val="Hyperlink"/>
            <w:rFonts w:ascii="Cambria" w:hAnsi="Cambria"/>
            <w:sz w:val="20"/>
            <w:szCs w:val="20"/>
          </w:rPr>
          <w:t>http://www.hraction.org/wp-content/uploads/Tabela-sa-preporukama_09082012.pdf</w:t>
        </w:r>
      </w:hyperlink>
    </w:p>
  </w:footnote>
  <w:footnote w:id="6">
    <w:p w:rsidR="003A321B" w:rsidRPr="00B146EE" w:rsidRDefault="003A321B" w:rsidP="00751C27">
      <w:pPr>
        <w:pStyle w:val="FootnoteText"/>
        <w:jc w:val="both"/>
        <w:rPr>
          <w:rFonts w:ascii="Cambria" w:hAnsi="Cambria"/>
          <w:sz w:val="20"/>
          <w:szCs w:val="20"/>
          <w:lang w:val="sr-Latn-CS"/>
        </w:rPr>
      </w:pPr>
      <w:r w:rsidRPr="00B146EE">
        <w:rPr>
          <w:rStyle w:val="FootnoteReference"/>
          <w:rFonts w:ascii="Cambria" w:hAnsi="Cambria"/>
          <w:sz w:val="20"/>
          <w:szCs w:val="20"/>
        </w:rPr>
        <w:footnoteRef/>
      </w:r>
      <w:r w:rsidRPr="00B146EE">
        <w:rPr>
          <w:rFonts w:ascii="Cambria" w:hAnsi="Cambria"/>
          <w:sz w:val="20"/>
          <w:szCs w:val="20"/>
        </w:rPr>
        <w:t xml:space="preserve"> Detaljnije vidjeti izvještaj “Poštovanje ljudskih prava pritvorenih lica i lica na izdržavanju kazne zatvora u Zavodu za izvršenje krivičnih sankcija”, koji je dostupan na: </w:t>
      </w:r>
      <w:hyperlink r:id="rId5" w:history="1">
        <w:r w:rsidRPr="00B146EE">
          <w:rPr>
            <w:rStyle w:val="Hyperlink"/>
            <w:rFonts w:ascii="Cambria" w:hAnsi="Cambria"/>
            <w:sz w:val="20"/>
            <w:szCs w:val="20"/>
          </w:rPr>
          <w:t>http://www.hraction.org/wp-content/uploads/Izvjestaj%20FINAL_15062012-1.pdf</w:t>
        </w:r>
      </w:hyperlink>
    </w:p>
  </w:footnote>
  <w:footnote w:id="7">
    <w:p w:rsidR="003A321B" w:rsidRPr="00511475" w:rsidRDefault="003A321B" w:rsidP="00751C27">
      <w:pPr>
        <w:pStyle w:val="FootnoteText"/>
        <w:jc w:val="both"/>
        <w:rPr>
          <w:rFonts w:ascii="Cambria" w:hAnsi="Cambria"/>
          <w:sz w:val="20"/>
          <w:szCs w:val="20"/>
          <w:lang w:val="sr-Latn-CS"/>
        </w:rPr>
      </w:pPr>
      <w:r w:rsidRPr="00511475">
        <w:rPr>
          <w:rStyle w:val="FootnoteReference"/>
          <w:rFonts w:ascii="Cambria" w:hAnsi="Cambria"/>
          <w:sz w:val="20"/>
          <w:szCs w:val="20"/>
        </w:rPr>
        <w:footnoteRef/>
      </w:r>
      <w:r w:rsidRPr="00511475">
        <w:rPr>
          <w:rFonts w:ascii="Cambria" w:hAnsi="Cambria"/>
          <w:sz w:val="20"/>
          <w:szCs w:val="20"/>
          <w:lang w:val="sr-Latn-CS"/>
        </w:rPr>
        <w:t xml:space="preserve">Detaljnije vidjeti: </w:t>
      </w:r>
      <w:hyperlink r:id="rId6" w:history="1">
        <w:r w:rsidRPr="00511475">
          <w:rPr>
            <w:rStyle w:val="Hyperlink"/>
            <w:rFonts w:ascii="Cambria" w:hAnsi="Cambria"/>
            <w:sz w:val="20"/>
            <w:szCs w:val="20"/>
          </w:rPr>
          <w:t>http://www.hraction.org/?p=3434</w:t>
        </w:r>
      </w:hyperlink>
    </w:p>
  </w:footnote>
  <w:footnote w:id="8">
    <w:p w:rsidR="003A321B" w:rsidRPr="00DA35C0" w:rsidRDefault="003A321B" w:rsidP="00DA35C0">
      <w:pPr>
        <w:pStyle w:val="FootnoteText"/>
        <w:jc w:val="both"/>
        <w:rPr>
          <w:rFonts w:ascii="Cambria" w:hAnsi="Cambria"/>
          <w:sz w:val="20"/>
          <w:szCs w:val="20"/>
          <w:lang w:val="sr-Latn-CS"/>
        </w:rPr>
      </w:pPr>
      <w:r w:rsidRPr="00511475">
        <w:rPr>
          <w:rStyle w:val="FootnoteReference"/>
          <w:rFonts w:ascii="Cambria" w:hAnsi="Cambria"/>
          <w:sz w:val="20"/>
          <w:szCs w:val="20"/>
        </w:rPr>
        <w:footnoteRef/>
      </w:r>
      <w:r w:rsidRPr="00511475">
        <w:rPr>
          <w:rFonts w:ascii="Cambria" w:hAnsi="Cambria"/>
          <w:sz w:val="20"/>
          <w:szCs w:val="20"/>
        </w:rPr>
        <w:t xml:space="preserve">Detaljnije vidjeti preporuke br.13,14, 17 i 26  Završne ocjene izvještaja dostupne na: </w:t>
      </w:r>
      <w:hyperlink r:id="rId7" w:history="1">
        <w:r w:rsidRPr="00511475">
          <w:rPr>
            <w:rFonts w:ascii="Cambria" w:hAnsi="Cambria"/>
            <w:bCs/>
            <w:color w:val="0000FF"/>
            <w:sz w:val="20"/>
            <w:szCs w:val="20"/>
            <w:u w:val="single"/>
            <w:lang w:val="en-US"/>
          </w:rPr>
          <w:t>http://www.hraction.org/wp-content/uploads/Izvje%C5%A1taj-Komanski-most.pdf</w:t>
        </w:r>
      </w:hyperlink>
    </w:p>
  </w:footnote>
  <w:footnote w:id="9">
    <w:p w:rsidR="003A321B" w:rsidRPr="00511475" w:rsidRDefault="003A321B">
      <w:pPr>
        <w:pStyle w:val="FootnoteText"/>
        <w:rPr>
          <w:rFonts w:ascii="Cambria" w:hAnsi="Cambria"/>
          <w:sz w:val="20"/>
          <w:szCs w:val="20"/>
          <w:lang w:val="sr-Latn-CS"/>
        </w:rPr>
      </w:pPr>
      <w:r w:rsidRPr="00511475">
        <w:rPr>
          <w:rStyle w:val="FootnoteReference"/>
          <w:rFonts w:ascii="Cambria" w:hAnsi="Cambria"/>
          <w:sz w:val="20"/>
          <w:szCs w:val="20"/>
        </w:rPr>
        <w:footnoteRef/>
      </w:r>
      <w:r w:rsidRPr="00511475">
        <w:rPr>
          <w:rFonts w:ascii="Cambria" w:hAnsi="Cambria"/>
          <w:sz w:val="20"/>
          <w:szCs w:val="20"/>
        </w:rPr>
        <w:t xml:space="preserve"> Ibid, preporuke br. 24, 38 i 47 Završne ocjene Izvještaja;</w:t>
      </w:r>
    </w:p>
  </w:footnote>
  <w:footnote w:id="10">
    <w:p w:rsidR="003A321B" w:rsidRPr="006B0D7B" w:rsidRDefault="003A321B" w:rsidP="00751C27">
      <w:pPr>
        <w:pStyle w:val="FootnoteText"/>
        <w:jc w:val="both"/>
        <w:rPr>
          <w:rFonts w:ascii="Cambria" w:hAnsi="Cambria"/>
          <w:sz w:val="20"/>
          <w:szCs w:val="20"/>
          <w:lang w:val="sr-Latn-CS"/>
        </w:rPr>
      </w:pPr>
      <w:r w:rsidRPr="006B0D7B">
        <w:rPr>
          <w:rStyle w:val="FootnoteReference"/>
          <w:rFonts w:ascii="Cambria" w:hAnsi="Cambria"/>
          <w:sz w:val="20"/>
          <w:szCs w:val="20"/>
        </w:rPr>
        <w:footnoteRef/>
      </w:r>
      <w:r w:rsidRPr="006B0D7B">
        <w:rPr>
          <w:rFonts w:ascii="Cambria" w:hAnsi="Cambria"/>
          <w:sz w:val="20"/>
          <w:szCs w:val="20"/>
          <w:lang w:val="sr-Latn-CS"/>
        </w:rPr>
        <w:t xml:space="preserve">Detaljnije vidjeti izvještaj „Procesuiranje napada na novinare u Crnoj Gori“, koji je dostupan na: </w:t>
      </w:r>
      <w:hyperlink r:id="rId8" w:history="1">
        <w:r w:rsidRPr="006B0D7B">
          <w:rPr>
            <w:rStyle w:val="Hyperlink"/>
            <w:rFonts w:ascii="Cambria" w:hAnsi="Cambria"/>
            <w:sz w:val="20"/>
            <w:szCs w:val="20"/>
          </w:rPr>
          <w:t>http://www.hraction.org/wp-content/uploads/Izvje%C5%A1taj-o-procesuiranju-napada-na-novinare-14.3.2013-fin.pdf</w:t>
        </w:r>
      </w:hyperlink>
    </w:p>
  </w:footnote>
  <w:footnote w:id="11">
    <w:p w:rsidR="003A321B" w:rsidRPr="00065F91" w:rsidRDefault="003A321B" w:rsidP="00751C27">
      <w:pPr>
        <w:pStyle w:val="FootnoteText"/>
        <w:rPr>
          <w:rFonts w:ascii="Cambria" w:hAnsi="Cambria"/>
          <w:sz w:val="20"/>
          <w:szCs w:val="20"/>
          <w:lang w:val="sr-Latn-CS"/>
        </w:rPr>
      </w:pPr>
      <w:r w:rsidRPr="00065F91">
        <w:rPr>
          <w:rStyle w:val="FootnoteReference"/>
          <w:rFonts w:ascii="Cambria" w:hAnsi="Cambria"/>
          <w:sz w:val="20"/>
          <w:szCs w:val="20"/>
        </w:rPr>
        <w:footnoteRef/>
      </w:r>
      <w:r w:rsidRPr="00065F91">
        <w:rPr>
          <w:rFonts w:ascii="Cambria" w:hAnsi="Cambria"/>
          <w:sz w:val="20"/>
          <w:szCs w:val="20"/>
        </w:rPr>
        <w:t xml:space="preserve"> Detaljnije vidjeti: “Predlog reforme odgovornosti za povredu časti i ugleda u Crnoj Gori”, Akcija za ljudska prava, Podgorica, 2010. Dostupno na: </w:t>
      </w:r>
      <w:hyperlink r:id="rId9" w:history="1">
        <w:r w:rsidRPr="00065F91">
          <w:rPr>
            <w:rStyle w:val="Hyperlink"/>
            <w:rFonts w:ascii="Cambria" w:hAnsi="Cambria"/>
            <w:sz w:val="20"/>
            <w:szCs w:val="20"/>
          </w:rPr>
          <w:t>http://www.hraction.org/wp-content/uploads/predlog_reforme-zakon_o_kleveti_i_uvredi.pdf</w:t>
        </w:r>
      </w:hyperlink>
    </w:p>
  </w:footnote>
  <w:footnote w:id="12">
    <w:p w:rsidR="003A321B" w:rsidRPr="00065F91" w:rsidRDefault="003A321B" w:rsidP="00751C27">
      <w:pPr>
        <w:pStyle w:val="FootnoteText"/>
        <w:rPr>
          <w:rFonts w:ascii="Cambria" w:hAnsi="Cambria"/>
          <w:sz w:val="20"/>
          <w:szCs w:val="20"/>
          <w:lang w:val="sr-Latn-CS"/>
        </w:rPr>
      </w:pPr>
      <w:r w:rsidRPr="00065F91">
        <w:rPr>
          <w:rStyle w:val="FootnoteReference"/>
          <w:rFonts w:ascii="Cambria" w:hAnsi="Cambria"/>
          <w:sz w:val="20"/>
          <w:szCs w:val="20"/>
        </w:rPr>
        <w:footnoteRef/>
      </w:r>
      <w:r w:rsidRPr="00065F91">
        <w:rPr>
          <w:rFonts w:ascii="Cambria" w:hAnsi="Cambria"/>
          <w:sz w:val="20"/>
          <w:szCs w:val="20"/>
          <w:lang w:val="sr-Latn-CS"/>
        </w:rPr>
        <w:t xml:space="preserve">Dostupan na: </w:t>
      </w:r>
      <w:hyperlink r:id="rId10" w:history="1">
        <w:r w:rsidRPr="00065F91">
          <w:rPr>
            <w:rStyle w:val="Hyperlink"/>
            <w:rFonts w:ascii="Cambria" w:hAnsi="Cambria"/>
            <w:sz w:val="20"/>
            <w:szCs w:val="20"/>
          </w:rPr>
          <w:t>http://www.hraction.org/wp-content/uploads/24042013-monitoring-novinarskih-samoregulatornih-tijela-u-cg.pdf</w:t>
        </w:r>
      </w:hyperlink>
    </w:p>
  </w:footnote>
  <w:footnote w:id="13">
    <w:p w:rsidR="003A321B" w:rsidRPr="00065F91" w:rsidRDefault="003A321B" w:rsidP="00751C27">
      <w:pPr>
        <w:pStyle w:val="FootnoteText"/>
        <w:rPr>
          <w:lang w:val="sr-Latn-CS"/>
        </w:rPr>
      </w:pPr>
      <w:r w:rsidRPr="00065F91">
        <w:rPr>
          <w:rStyle w:val="FootnoteReference"/>
          <w:rFonts w:ascii="Cambria" w:hAnsi="Cambria"/>
          <w:sz w:val="20"/>
          <w:szCs w:val="20"/>
        </w:rPr>
        <w:footnoteRef/>
      </w:r>
      <w:r w:rsidRPr="00065F91">
        <w:rPr>
          <w:rFonts w:ascii="Cambria" w:hAnsi="Cambria"/>
          <w:sz w:val="20"/>
          <w:szCs w:val="20"/>
          <w:lang w:val="sr-Latn-CS"/>
        </w:rPr>
        <w:t xml:space="preserve">Detaljnije vidjeti: </w:t>
      </w:r>
      <w:hyperlink r:id="rId11" w:history="1">
        <w:r w:rsidRPr="00065F91">
          <w:rPr>
            <w:rStyle w:val="Hyperlink"/>
            <w:rFonts w:ascii="Cambria" w:hAnsi="Cambria"/>
            <w:sz w:val="20"/>
            <w:szCs w:val="20"/>
          </w:rPr>
          <w:t>http://www.hraction.org/wp-content/uploads/O_NACELNOM_PRAVNOM_STAVU_VRHOVNOG_SUDA_29.pdf</w:t>
        </w:r>
      </w:hyperlink>
    </w:p>
  </w:footnote>
  <w:footnote w:id="14">
    <w:p w:rsidR="003A321B" w:rsidRPr="00065F91" w:rsidRDefault="003A321B">
      <w:pPr>
        <w:pStyle w:val="FootnoteText"/>
        <w:rPr>
          <w:rFonts w:ascii="Cambria" w:hAnsi="Cambria"/>
          <w:sz w:val="20"/>
          <w:szCs w:val="20"/>
          <w:lang w:val="sr-Latn-CS"/>
        </w:rPr>
      </w:pPr>
      <w:r w:rsidRPr="00065F91">
        <w:rPr>
          <w:rStyle w:val="FootnoteReference"/>
          <w:rFonts w:ascii="Cambria" w:hAnsi="Cambria"/>
          <w:sz w:val="20"/>
          <w:szCs w:val="20"/>
        </w:rPr>
        <w:footnoteRef/>
      </w:r>
      <w:r w:rsidRPr="00065F91">
        <w:rPr>
          <w:rFonts w:ascii="Cambria" w:hAnsi="Cambria"/>
          <w:sz w:val="20"/>
          <w:szCs w:val="20"/>
        </w:rPr>
        <w:t xml:space="preserve"> Detaljnije vidjeti: </w:t>
      </w:r>
      <w:hyperlink r:id="rId12" w:history="1">
        <w:r w:rsidRPr="00065F91">
          <w:rPr>
            <w:rStyle w:val="Hyperlink"/>
            <w:rFonts w:ascii="Cambria" w:hAnsi="Cambria"/>
            <w:sz w:val="20"/>
            <w:szCs w:val="20"/>
          </w:rPr>
          <w:t>http://www.hraction.org/wp-content/uploads/24042013-monitoring-novinarskih-samoregulatornih-tijela-u-cg.pdf</w:t>
        </w:r>
      </w:hyperlink>
    </w:p>
  </w:footnote>
  <w:footnote w:id="15">
    <w:p w:rsidR="003A321B" w:rsidRPr="004E4809" w:rsidRDefault="003A321B">
      <w:pPr>
        <w:pStyle w:val="FootnoteText"/>
        <w:rPr>
          <w:lang w:val="sr-Latn-CS"/>
        </w:rPr>
      </w:pPr>
      <w:r w:rsidRPr="004E4809">
        <w:rPr>
          <w:rStyle w:val="FootnoteReference"/>
          <w:rFonts w:ascii="Cambria" w:hAnsi="Cambria"/>
          <w:sz w:val="20"/>
          <w:szCs w:val="20"/>
        </w:rPr>
        <w:footnoteRef/>
      </w:r>
      <w:r w:rsidRPr="004E4809">
        <w:rPr>
          <w:rFonts w:ascii="Cambria" w:hAnsi="Cambria"/>
          <w:sz w:val="20"/>
          <w:szCs w:val="20"/>
          <w:lang w:val="sr-Latn-CS"/>
        </w:rPr>
        <w:t xml:space="preserve">Dostupno na: </w:t>
      </w:r>
      <w:hyperlink r:id="rId13" w:history="1">
        <w:r w:rsidRPr="004E4809">
          <w:rPr>
            <w:rStyle w:val="Hyperlink"/>
            <w:rFonts w:ascii="Cambria" w:hAnsi="Cambria"/>
            <w:sz w:val="20"/>
            <w:szCs w:val="20"/>
          </w:rPr>
          <w:t>http://www.hraction.org/wp-content/uploads/predlog_reforme-zakon_o_kleveti_i_uvredi.pdf</w:t>
        </w:r>
      </w:hyperlink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60C26"/>
    <w:multiLevelType w:val="hybridMultilevel"/>
    <w:tmpl w:val="B25C1D58"/>
    <w:lvl w:ilvl="0" w:tplc="040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3E221F"/>
    <w:multiLevelType w:val="hybridMultilevel"/>
    <w:tmpl w:val="4A749098"/>
    <w:lvl w:ilvl="0" w:tplc="0409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8431C9C"/>
    <w:multiLevelType w:val="hybridMultilevel"/>
    <w:tmpl w:val="CEF8B0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4558FC"/>
    <w:multiLevelType w:val="hybridMultilevel"/>
    <w:tmpl w:val="025039EC"/>
    <w:lvl w:ilvl="0" w:tplc="B146428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C745DD7"/>
    <w:multiLevelType w:val="hybridMultilevel"/>
    <w:tmpl w:val="F76228AC"/>
    <w:lvl w:ilvl="0" w:tplc="C0C4B02C">
      <w:start w:val="2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41F22FB"/>
    <w:multiLevelType w:val="hybridMultilevel"/>
    <w:tmpl w:val="F1FC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BF74E8"/>
    <w:multiLevelType w:val="hybridMultilevel"/>
    <w:tmpl w:val="A90E1BA4"/>
    <w:lvl w:ilvl="0" w:tplc="F502080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B02487"/>
    <w:multiLevelType w:val="hybridMultilevel"/>
    <w:tmpl w:val="809EB724"/>
    <w:lvl w:ilvl="0" w:tplc="9346517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9C96A7B"/>
    <w:multiLevelType w:val="hybridMultilevel"/>
    <w:tmpl w:val="6F046382"/>
    <w:lvl w:ilvl="0" w:tplc="1514EF1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EF83B76"/>
    <w:multiLevelType w:val="hybridMultilevel"/>
    <w:tmpl w:val="CC0EB6B2"/>
    <w:lvl w:ilvl="0" w:tplc="489CF6E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1C250FC"/>
    <w:multiLevelType w:val="hybridMultilevel"/>
    <w:tmpl w:val="4FC4AAAA"/>
    <w:lvl w:ilvl="0" w:tplc="D3062D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51E375E"/>
    <w:multiLevelType w:val="hybridMultilevel"/>
    <w:tmpl w:val="716001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F35FCC"/>
    <w:multiLevelType w:val="hybridMultilevel"/>
    <w:tmpl w:val="1FAA24BC"/>
    <w:lvl w:ilvl="0" w:tplc="A6DE3D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0E788C"/>
    <w:multiLevelType w:val="hybridMultilevel"/>
    <w:tmpl w:val="FDAE9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BE6542"/>
    <w:multiLevelType w:val="hybridMultilevel"/>
    <w:tmpl w:val="CAAEE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00F785A"/>
    <w:multiLevelType w:val="hybridMultilevel"/>
    <w:tmpl w:val="B50ACB52"/>
    <w:lvl w:ilvl="0" w:tplc="DF5ED69C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3115E78"/>
    <w:multiLevelType w:val="hybridMultilevel"/>
    <w:tmpl w:val="495008F2"/>
    <w:lvl w:ilvl="0" w:tplc="75F8065C">
      <w:start w:val="1"/>
      <w:numFmt w:val="decimal"/>
      <w:lvlText w:val="%1."/>
      <w:lvlJc w:val="left"/>
      <w:pPr>
        <w:ind w:left="720" w:hanging="360"/>
      </w:pPr>
      <w:rPr>
        <w:rFonts w:eastAsia="Times New Roman" w:cs="Wingdings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5677725"/>
    <w:multiLevelType w:val="hybridMultilevel"/>
    <w:tmpl w:val="3E860CC0"/>
    <w:lvl w:ilvl="0" w:tplc="1BBED14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EC192F"/>
    <w:multiLevelType w:val="hybridMultilevel"/>
    <w:tmpl w:val="03F08FE6"/>
    <w:lvl w:ilvl="0" w:tplc="CC5EE634">
      <w:start w:val="1"/>
      <w:numFmt w:val="decimal"/>
      <w:lvlText w:val="%1."/>
      <w:lvlJc w:val="left"/>
      <w:pPr>
        <w:ind w:left="1080" w:hanging="360"/>
      </w:pPr>
      <w:rPr>
        <w:rFonts w:eastAsia="Times New Roman" w:cs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942540B"/>
    <w:multiLevelType w:val="hybridMultilevel"/>
    <w:tmpl w:val="94F88094"/>
    <w:lvl w:ilvl="0" w:tplc="6060DF92">
      <w:start w:val="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2840287"/>
    <w:multiLevelType w:val="hybridMultilevel"/>
    <w:tmpl w:val="350448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3A263A5"/>
    <w:multiLevelType w:val="hybridMultilevel"/>
    <w:tmpl w:val="89B2F680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DC72DD"/>
    <w:multiLevelType w:val="hybridMultilevel"/>
    <w:tmpl w:val="F1FCEF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2E43D4"/>
    <w:multiLevelType w:val="hybridMultilevel"/>
    <w:tmpl w:val="365E45C8"/>
    <w:lvl w:ilvl="0" w:tplc="BB94BB54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7F0167F"/>
    <w:multiLevelType w:val="hybridMultilevel"/>
    <w:tmpl w:val="BE344984"/>
    <w:lvl w:ilvl="0" w:tplc="DA80E640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4C312FEA"/>
    <w:multiLevelType w:val="hybridMultilevel"/>
    <w:tmpl w:val="57B2C42A"/>
    <w:lvl w:ilvl="0" w:tplc="F35E1782">
      <w:start w:val="2"/>
      <w:numFmt w:val="bullet"/>
      <w:lvlText w:val="-"/>
      <w:lvlJc w:val="left"/>
      <w:pPr>
        <w:ind w:left="1440" w:hanging="360"/>
      </w:pPr>
      <w:rPr>
        <w:rFonts w:ascii="Calibri" w:eastAsia="Calibri" w:hAnsi="Calibri" w:cs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35A6003"/>
    <w:multiLevelType w:val="hybridMultilevel"/>
    <w:tmpl w:val="5EC082BE"/>
    <w:lvl w:ilvl="0" w:tplc="03621364">
      <w:start w:val="2"/>
      <w:numFmt w:val="bullet"/>
      <w:lvlText w:val="-"/>
      <w:lvlJc w:val="left"/>
      <w:pPr>
        <w:ind w:left="1080" w:hanging="360"/>
      </w:pPr>
      <w:rPr>
        <w:rFonts w:ascii="Cambria" w:eastAsia="Calibr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544E78F6"/>
    <w:multiLevelType w:val="hybridMultilevel"/>
    <w:tmpl w:val="EE1643CC"/>
    <w:lvl w:ilvl="0" w:tplc="1E3AFB5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667223"/>
    <w:multiLevelType w:val="hybridMultilevel"/>
    <w:tmpl w:val="86726156"/>
    <w:lvl w:ilvl="0" w:tplc="88B64774">
      <w:start w:val="2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7917AE5"/>
    <w:multiLevelType w:val="hybridMultilevel"/>
    <w:tmpl w:val="C7ACBBEC"/>
    <w:lvl w:ilvl="0" w:tplc="BD0878B8">
      <w:start w:val="1"/>
      <w:numFmt w:val="decimal"/>
      <w:lvlText w:val="%1."/>
      <w:lvlJc w:val="left"/>
      <w:pPr>
        <w:ind w:left="1830" w:hanging="11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7DD58EF"/>
    <w:multiLevelType w:val="hybridMultilevel"/>
    <w:tmpl w:val="5262C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94428F"/>
    <w:multiLevelType w:val="hybridMultilevel"/>
    <w:tmpl w:val="115A00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3F4D61"/>
    <w:multiLevelType w:val="hybridMultilevel"/>
    <w:tmpl w:val="ACD4F6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102299C"/>
    <w:multiLevelType w:val="hybridMultilevel"/>
    <w:tmpl w:val="E252293E"/>
    <w:lvl w:ilvl="0" w:tplc="76B6C3D2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656097A"/>
    <w:multiLevelType w:val="hybridMultilevel"/>
    <w:tmpl w:val="CC6CEABC"/>
    <w:lvl w:ilvl="0" w:tplc="B3E015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6C66266"/>
    <w:multiLevelType w:val="hybridMultilevel"/>
    <w:tmpl w:val="94B6AE48"/>
    <w:lvl w:ilvl="0" w:tplc="4470D07A">
      <w:start w:val="10"/>
      <w:numFmt w:val="bullet"/>
      <w:lvlText w:val="-"/>
      <w:lvlJc w:val="left"/>
      <w:pPr>
        <w:ind w:left="1080" w:hanging="360"/>
      </w:pPr>
      <w:rPr>
        <w:rFonts w:ascii="Cambria" w:eastAsia="Times New Roman" w:hAnsi="Cambria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>
    <w:nsid w:val="7AB427F3"/>
    <w:multiLevelType w:val="hybridMultilevel"/>
    <w:tmpl w:val="B582D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B86DC5"/>
    <w:multiLevelType w:val="hybridMultilevel"/>
    <w:tmpl w:val="5CF2207C"/>
    <w:lvl w:ilvl="0" w:tplc="1BE6C3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DA44F88"/>
    <w:multiLevelType w:val="hybridMultilevel"/>
    <w:tmpl w:val="E326B70C"/>
    <w:lvl w:ilvl="0" w:tplc="83586D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9"/>
  </w:num>
  <w:num w:numId="2">
    <w:abstractNumId w:val="5"/>
  </w:num>
  <w:num w:numId="3">
    <w:abstractNumId w:val="22"/>
  </w:num>
  <w:num w:numId="4">
    <w:abstractNumId w:val="20"/>
  </w:num>
  <w:num w:numId="5">
    <w:abstractNumId w:val="21"/>
  </w:num>
  <w:num w:numId="6">
    <w:abstractNumId w:val="2"/>
  </w:num>
  <w:num w:numId="7">
    <w:abstractNumId w:val="32"/>
  </w:num>
  <w:num w:numId="8">
    <w:abstractNumId w:val="34"/>
  </w:num>
  <w:num w:numId="9">
    <w:abstractNumId w:val="36"/>
  </w:num>
  <w:num w:numId="10">
    <w:abstractNumId w:val="23"/>
  </w:num>
  <w:num w:numId="11">
    <w:abstractNumId w:val="37"/>
  </w:num>
  <w:num w:numId="12">
    <w:abstractNumId w:val="4"/>
  </w:num>
  <w:num w:numId="13">
    <w:abstractNumId w:val="15"/>
  </w:num>
  <w:num w:numId="14">
    <w:abstractNumId w:val="11"/>
  </w:num>
  <w:num w:numId="15">
    <w:abstractNumId w:val="14"/>
  </w:num>
  <w:num w:numId="16">
    <w:abstractNumId w:val="6"/>
  </w:num>
  <w:num w:numId="17">
    <w:abstractNumId w:val="12"/>
  </w:num>
  <w:num w:numId="18">
    <w:abstractNumId w:val="17"/>
  </w:num>
  <w:num w:numId="19">
    <w:abstractNumId w:val="1"/>
  </w:num>
  <w:num w:numId="20">
    <w:abstractNumId w:val="10"/>
  </w:num>
  <w:num w:numId="21">
    <w:abstractNumId w:val="28"/>
  </w:num>
  <w:num w:numId="22">
    <w:abstractNumId w:val="7"/>
  </w:num>
  <w:num w:numId="23">
    <w:abstractNumId w:val="26"/>
  </w:num>
  <w:num w:numId="24">
    <w:abstractNumId w:val="38"/>
  </w:num>
  <w:num w:numId="25">
    <w:abstractNumId w:val="0"/>
  </w:num>
  <w:num w:numId="26">
    <w:abstractNumId w:val="19"/>
  </w:num>
  <w:num w:numId="27">
    <w:abstractNumId w:val="3"/>
  </w:num>
  <w:num w:numId="28">
    <w:abstractNumId w:val="31"/>
  </w:num>
  <w:num w:numId="29">
    <w:abstractNumId w:val="13"/>
  </w:num>
  <w:num w:numId="30">
    <w:abstractNumId w:val="24"/>
  </w:num>
  <w:num w:numId="31">
    <w:abstractNumId w:val="25"/>
  </w:num>
  <w:num w:numId="32">
    <w:abstractNumId w:val="27"/>
  </w:num>
  <w:num w:numId="33">
    <w:abstractNumId w:val="16"/>
  </w:num>
  <w:num w:numId="34">
    <w:abstractNumId w:val="18"/>
  </w:num>
  <w:num w:numId="35">
    <w:abstractNumId w:val="30"/>
  </w:num>
  <w:num w:numId="36">
    <w:abstractNumId w:val="35"/>
  </w:num>
  <w:num w:numId="37">
    <w:abstractNumId w:val="8"/>
  </w:num>
  <w:num w:numId="38">
    <w:abstractNumId w:val="9"/>
  </w:num>
  <w:num w:numId="39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30DC"/>
    <w:rsid w:val="000665B3"/>
    <w:rsid w:val="00071B5D"/>
    <w:rsid w:val="0011338B"/>
    <w:rsid w:val="00175BD4"/>
    <w:rsid w:val="001A7599"/>
    <w:rsid w:val="001C216B"/>
    <w:rsid w:val="00205193"/>
    <w:rsid w:val="00220E33"/>
    <w:rsid w:val="00233685"/>
    <w:rsid w:val="00241BD0"/>
    <w:rsid w:val="00250B1B"/>
    <w:rsid w:val="00265D37"/>
    <w:rsid w:val="0028701C"/>
    <w:rsid w:val="002D15AD"/>
    <w:rsid w:val="002E5361"/>
    <w:rsid w:val="002F0886"/>
    <w:rsid w:val="00327FC7"/>
    <w:rsid w:val="003A321B"/>
    <w:rsid w:val="003D353A"/>
    <w:rsid w:val="0040179C"/>
    <w:rsid w:val="00474354"/>
    <w:rsid w:val="004C65E5"/>
    <w:rsid w:val="004E6520"/>
    <w:rsid w:val="00503CF1"/>
    <w:rsid w:val="00545D80"/>
    <w:rsid w:val="00571D81"/>
    <w:rsid w:val="00587768"/>
    <w:rsid w:val="005F1106"/>
    <w:rsid w:val="00604180"/>
    <w:rsid w:val="00633C71"/>
    <w:rsid w:val="006A2757"/>
    <w:rsid w:val="006E7A1E"/>
    <w:rsid w:val="006F64D7"/>
    <w:rsid w:val="00704D33"/>
    <w:rsid w:val="00714D50"/>
    <w:rsid w:val="0072259C"/>
    <w:rsid w:val="00734AD3"/>
    <w:rsid w:val="007438A3"/>
    <w:rsid w:val="007515A0"/>
    <w:rsid w:val="00751C27"/>
    <w:rsid w:val="00775897"/>
    <w:rsid w:val="00794B04"/>
    <w:rsid w:val="007C0F12"/>
    <w:rsid w:val="00827EC8"/>
    <w:rsid w:val="008E5B55"/>
    <w:rsid w:val="00902769"/>
    <w:rsid w:val="00934BF7"/>
    <w:rsid w:val="0099100D"/>
    <w:rsid w:val="009A0BE9"/>
    <w:rsid w:val="009A3E26"/>
    <w:rsid w:val="009B53C8"/>
    <w:rsid w:val="009C0E4C"/>
    <w:rsid w:val="00A218C6"/>
    <w:rsid w:val="00A60591"/>
    <w:rsid w:val="00A82744"/>
    <w:rsid w:val="00AC4075"/>
    <w:rsid w:val="00AF00EA"/>
    <w:rsid w:val="00B85162"/>
    <w:rsid w:val="00BC05E5"/>
    <w:rsid w:val="00C15562"/>
    <w:rsid w:val="00C3139E"/>
    <w:rsid w:val="00CA30DC"/>
    <w:rsid w:val="00CB4E65"/>
    <w:rsid w:val="00CD2E5E"/>
    <w:rsid w:val="00CE3966"/>
    <w:rsid w:val="00D21360"/>
    <w:rsid w:val="00D4557E"/>
    <w:rsid w:val="00D45C9B"/>
    <w:rsid w:val="00DA2ACE"/>
    <w:rsid w:val="00DA35C0"/>
    <w:rsid w:val="00E121A4"/>
    <w:rsid w:val="00E25177"/>
    <w:rsid w:val="00E3475E"/>
    <w:rsid w:val="00E35F37"/>
    <w:rsid w:val="00E87CFF"/>
    <w:rsid w:val="00EA7DBA"/>
    <w:rsid w:val="00EB3C97"/>
    <w:rsid w:val="00EF5BBD"/>
    <w:rsid w:val="00F03027"/>
    <w:rsid w:val="00F234B3"/>
    <w:rsid w:val="00F42BE4"/>
    <w:rsid w:val="00F9474D"/>
    <w:rsid w:val="00FA2E1A"/>
    <w:rsid w:val="00FC591C"/>
    <w:rsid w:val="00FF0A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C4075"/>
    <w:rPr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042FFE"/>
    <w:pPr>
      <w:keepNext/>
      <w:jc w:val="center"/>
      <w:outlineLvl w:val="0"/>
    </w:pPr>
    <w:rPr>
      <w:sz w:val="17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1-Accent21">
    <w:name w:val="Medium Grid 1 - Accent 21"/>
    <w:basedOn w:val="Normal"/>
    <w:uiPriority w:val="34"/>
    <w:qFormat/>
    <w:rsid w:val="00357E5B"/>
    <w:pPr>
      <w:spacing w:after="200" w:line="276" w:lineRule="auto"/>
      <w:ind w:left="720"/>
      <w:contextualSpacing/>
    </w:pPr>
    <w:rPr>
      <w:rFonts w:ascii="Cambria" w:eastAsia="Calibri" w:hAnsi="Cambria"/>
      <w:color w:val="FF0000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42FFE"/>
    <w:rPr>
      <w:sz w:val="172"/>
      <w:szCs w:val="24"/>
    </w:rPr>
  </w:style>
  <w:style w:type="paragraph" w:styleId="Footer">
    <w:name w:val="footer"/>
    <w:basedOn w:val="Normal"/>
    <w:link w:val="FooterChar"/>
    <w:rsid w:val="00042FFE"/>
    <w:pPr>
      <w:tabs>
        <w:tab w:val="center" w:pos="4320"/>
        <w:tab w:val="right" w:pos="8640"/>
      </w:tabs>
    </w:pPr>
    <w:rPr>
      <w:lang w:val="sr-Cyrl-CS" w:eastAsia="en-US"/>
    </w:rPr>
  </w:style>
  <w:style w:type="character" w:customStyle="1" w:styleId="FooterChar">
    <w:name w:val="Footer Char"/>
    <w:basedOn w:val="DefaultParagraphFont"/>
    <w:link w:val="Footer"/>
    <w:rsid w:val="00042FFE"/>
    <w:rPr>
      <w:sz w:val="24"/>
      <w:szCs w:val="24"/>
      <w:lang w:val="sr-Cyrl-CS"/>
    </w:rPr>
  </w:style>
  <w:style w:type="character" w:styleId="PageNumber">
    <w:name w:val="page number"/>
    <w:basedOn w:val="DefaultParagraphFont"/>
    <w:rsid w:val="00042FFE"/>
  </w:style>
  <w:style w:type="paragraph" w:styleId="Header">
    <w:name w:val="header"/>
    <w:basedOn w:val="Normal"/>
    <w:link w:val="HeaderChar"/>
    <w:rsid w:val="00042F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42FFE"/>
    <w:rPr>
      <w:sz w:val="24"/>
      <w:szCs w:val="24"/>
      <w:lang w:val="en-GB" w:eastAsia="en-GB"/>
    </w:rPr>
  </w:style>
  <w:style w:type="paragraph" w:styleId="BalloonText">
    <w:name w:val="Balloon Text"/>
    <w:basedOn w:val="Normal"/>
    <w:semiHidden/>
    <w:rsid w:val="004F420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223F7"/>
    <w:rPr>
      <w:color w:val="0000FF"/>
      <w:u w:val="single"/>
    </w:rPr>
  </w:style>
  <w:style w:type="paragraph" w:styleId="FootnoteText">
    <w:name w:val="footnote text"/>
    <w:basedOn w:val="Normal"/>
    <w:link w:val="FootnoteTextChar"/>
    <w:rsid w:val="00160690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rsid w:val="00160690"/>
    <w:rPr>
      <w:sz w:val="24"/>
      <w:szCs w:val="24"/>
      <w:lang w:val="en-GB"/>
    </w:rPr>
  </w:style>
  <w:style w:type="character" w:styleId="FootnoteReference">
    <w:name w:val="footnote reference"/>
    <w:basedOn w:val="DefaultParagraphFont"/>
    <w:rsid w:val="00160690"/>
    <w:rPr>
      <w:vertAlign w:val="superscript"/>
    </w:rPr>
  </w:style>
  <w:style w:type="character" w:customStyle="1" w:styleId="shorttext">
    <w:name w:val="short_text"/>
    <w:basedOn w:val="DefaultParagraphFont"/>
    <w:rsid w:val="00FF370C"/>
  </w:style>
  <w:style w:type="paragraph" w:customStyle="1" w:styleId="1tekst">
    <w:name w:val="1tekst"/>
    <w:basedOn w:val="Normal"/>
    <w:rsid w:val="004722B5"/>
    <w:pPr>
      <w:ind w:left="303" w:right="303" w:firstLine="240"/>
      <w:jc w:val="both"/>
    </w:pPr>
    <w:rPr>
      <w:rFonts w:ascii="Arial" w:hAnsi="Arial" w:cs="Arial"/>
      <w:sz w:val="20"/>
      <w:szCs w:val="20"/>
      <w:lang w:val="en-US" w:eastAsia="en-US"/>
    </w:rPr>
  </w:style>
  <w:style w:type="paragraph" w:customStyle="1" w:styleId="BodytextBody">
    <w:name w:val="Body text (Body)"/>
    <w:basedOn w:val="Normal"/>
    <w:rsid w:val="0062251B"/>
    <w:pPr>
      <w:widowControl w:val="0"/>
      <w:autoSpaceDE w:val="0"/>
      <w:autoSpaceDN w:val="0"/>
      <w:adjustRightInd w:val="0"/>
      <w:spacing w:before="20" w:after="20" w:line="276" w:lineRule="auto"/>
      <w:ind w:firstLine="397"/>
      <w:jc w:val="both"/>
      <w:textAlignment w:val="center"/>
    </w:pPr>
    <w:rPr>
      <w:rFonts w:ascii="Minion Pro" w:hAnsi="Minion Pro" w:cs="Minion Pro"/>
      <w:color w:val="000000"/>
      <w:sz w:val="22"/>
      <w:szCs w:val="22"/>
      <w:lang w:val="hr-HR" w:eastAsia="sr-Latn-CS"/>
    </w:rPr>
  </w:style>
  <w:style w:type="paragraph" w:styleId="NoSpacing">
    <w:name w:val="No Spacing"/>
    <w:uiPriority w:val="1"/>
    <w:semiHidden/>
    <w:qFormat/>
    <w:rsid w:val="004D6D77"/>
    <w:rPr>
      <w:rFonts w:ascii="Calibri" w:eastAsia="Calibri" w:hAnsi="Calibri"/>
      <w:sz w:val="22"/>
      <w:szCs w:val="22"/>
    </w:rPr>
  </w:style>
  <w:style w:type="character" w:styleId="CommentReference">
    <w:name w:val="annotation reference"/>
    <w:basedOn w:val="DefaultParagraphFont"/>
    <w:unhideWhenUsed/>
    <w:rsid w:val="001B2A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B2A2E"/>
    <w:pPr>
      <w:spacing w:after="200"/>
    </w:pPr>
    <w:rPr>
      <w:rFonts w:ascii="Calibri" w:hAnsi="Calibri"/>
      <w:sz w:val="20"/>
      <w:szCs w:val="2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rsid w:val="001B2A2E"/>
    <w:rPr>
      <w:rFonts w:ascii="Calibri" w:eastAsia="Times New Roman" w:hAnsi="Calibri" w:cs="Times New Roman"/>
    </w:rPr>
  </w:style>
  <w:style w:type="character" w:styleId="Strong">
    <w:name w:val="Strong"/>
    <w:basedOn w:val="DefaultParagraphFont"/>
    <w:qFormat/>
    <w:rsid w:val="001B2A2E"/>
    <w:rPr>
      <w:b/>
      <w:bCs/>
    </w:rPr>
  </w:style>
  <w:style w:type="paragraph" w:customStyle="1" w:styleId="ColorfulList-Accent12">
    <w:name w:val="Colorful List - Accent 12"/>
    <w:basedOn w:val="Normal"/>
    <w:rsid w:val="001B2A2E"/>
    <w:pPr>
      <w:spacing w:after="200" w:line="276" w:lineRule="auto"/>
      <w:ind w:left="720"/>
    </w:pPr>
    <w:rPr>
      <w:rFonts w:ascii="Cambria" w:hAnsi="Cambria" w:cs="Cambria"/>
      <w:color w:val="FF000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97D8D"/>
    <w:pPr>
      <w:spacing w:after="0"/>
    </w:pPr>
    <w:rPr>
      <w:rFonts w:ascii="Times New Roman" w:hAnsi="Times New Roman"/>
      <w:b/>
      <w:bCs/>
      <w:lang w:val="en-GB" w:eastAsia="en-GB"/>
    </w:rPr>
  </w:style>
  <w:style w:type="character" w:customStyle="1" w:styleId="CommentSubjectChar">
    <w:name w:val="Comment Subject Char"/>
    <w:basedOn w:val="CommentTextChar"/>
    <w:link w:val="CommentSubject"/>
    <w:rsid w:val="00397D8D"/>
    <w:rPr>
      <w:rFonts w:ascii="Calibri" w:eastAsia="Times New Roman" w:hAnsi="Calibri" w:cs="Times New Roman"/>
      <w:b/>
      <w:bCs/>
      <w:lang w:val="en-GB" w:eastAsia="en-GB"/>
    </w:rPr>
  </w:style>
  <w:style w:type="paragraph" w:customStyle="1" w:styleId="ColorfulList-Accent11">
    <w:name w:val="Colorful List - Accent 11"/>
    <w:basedOn w:val="Normal"/>
    <w:uiPriority w:val="34"/>
    <w:qFormat/>
    <w:rsid w:val="000569AB"/>
    <w:pPr>
      <w:ind w:left="720"/>
    </w:pPr>
  </w:style>
  <w:style w:type="paragraph" w:styleId="ListParagraph">
    <w:name w:val="List Paragraph"/>
    <w:basedOn w:val="Normal"/>
    <w:uiPriority w:val="34"/>
    <w:qFormat/>
    <w:rsid w:val="00F234B3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60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94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9539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87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382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4249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omments" Target="comments.xml"/><Relationship Id="rId14" Type="http://schemas.microsoft.com/office/2007/relationships/stylesWithEffects" Target="stylesWithEffect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raction.org/wp-content/uploads/Izvje%C5%A1taj-o-procesuiranju-napada-na-novinare-14.3.2013-fin.pdf" TargetMode="External"/><Relationship Id="rId13" Type="http://schemas.openxmlformats.org/officeDocument/2006/relationships/hyperlink" Target="http://www.hraction.org/wp-content/uploads/predlog_reforme-zakon_o_kleveti_i_uvredi.pdf" TargetMode="External"/><Relationship Id="rId3" Type="http://schemas.openxmlformats.org/officeDocument/2006/relationships/hyperlink" Target="http://www.hraction.org/?p=1154" TargetMode="External"/><Relationship Id="rId7" Type="http://schemas.openxmlformats.org/officeDocument/2006/relationships/hyperlink" Target="http://www.hraction.org/wp-content/uploads/Izvje%C5%A1taj-Komanski-most.pdf" TargetMode="External"/><Relationship Id="rId12" Type="http://schemas.openxmlformats.org/officeDocument/2006/relationships/hyperlink" Target="http://www.hraction.org/wp-content/uploads/24042013-monitoring-novinarskih-samoregulatornih-tijela-u-cg.pdf" TargetMode="External"/><Relationship Id="rId2" Type="http://schemas.openxmlformats.org/officeDocument/2006/relationships/hyperlink" Target="http://www.hraction.org/wp-content/uploads/Ljudska_prava_u_Crnoj_Gori_2010-2011.pdf" TargetMode="External"/><Relationship Id="rId1" Type="http://schemas.openxmlformats.org/officeDocument/2006/relationships/hyperlink" Target="http://www.hraction.org/wp-content/uploads/knjiga-cg.pdf" TargetMode="External"/><Relationship Id="rId6" Type="http://schemas.openxmlformats.org/officeDocument/2006/relationships/hyperlink" Target="http://www.hraction.org/?p=3434" TargetMode="External"/><Relationship Id="rId11" Type="http://schemas.openxmlformats.org/officeDocument/2006/relationships/hyperlink" Target="http://www.hraction.org/wp-content/uploads/O_NACELNOM_PRAVNOM_STAVU_VRHOVNOG_SUDA_29.pdf" TargetMode="External"/><Relationship Id="rId5" Type="http://schemas.openxmlformats.org/officeDocument/2006/relationships/hyperlink" Target="http://www.hraction.org/wp-content/uploads/Izvjestaj%20FINAL_15062012-1.pdf" TargetMode="External"/><Relationship Id="rId10" Type="http://schemas.openxmlformats.org/officeDocument/2006/relationships/hyperlink" Target="http://www.hraction.org/wp-content/uploads/24042013-monitoring-novinarskih-samoregulatornih-tijela-u-cg.pdf" TargetMode="External"/><Relationship Id="rId4" Type="http://schemas.openxmlformats.org/officeDocument/2006/relationships/hyperlink" Target="http://www.hraction.org/wp-content/uploads/Tabela-sa-preporukama_09082012.pdf" TargetMode="External"/><Relationship Id="rId9" Type="http://schemas.openxmlformats.org/officeDocument/2006/relationships/hyperlink" Target="http://www.hraction.org/wp-content/uploads/predlog_reforme-zakon_o_kleveti_i_uvredi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DABEC7-A583-4559-B4B6-84BD9BFCC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IZVJESTAJ</vt:lpstr>
    </vt:vector>
  </TitlesOfParts>
  <Company/>
  <LinksUpToDate>false</LinksUpToDate>
  <CharactersWithSpaces>14307</CharactersWithSpaces>
  <SharedDoc>false</SharedDoc>
  <HLinks>
    <vt:vector size="84" baseType="variant">
      <vt:variant>
        <vt:i4>6422556</vt:i4>
      </vt:variant>
      <vt:variant>
        <vt:i4>39</vt:i4>
      </vt:variant>
      <vt:variant>
        <vt:i4>0</vt:i4>
      </vt:variant>
      <vt:variant>
        <vt:i4>5</vt:i4>
      </vt:variant>
      <vt:variant>
        <vt:lpwstr>http://www.hraction.org/wp-content/uploads/predlog_reforme-zakon_o_kleveti_i_uvredi.pdf</vt:lpwstr>
      </vt:variant>
      <vt:variant>
        <vt:lpwstr/>
      </vt:variant>
      <vt:variant>
        <vt:i4>7667836</vt:i4>
      </vt:variant>
      <vt:variant>
        <vt:i4>36</vt:i4>
      </vt:variant>
      <vt:variant>
        <vt:i4>0</vt:i4>
      </vt:variant>
      <vt:variant>
        <vt:i4>5</vt:i4>
      </vt:variant>
      <vt:variant>
        <vt:lpwstr>http://www.hraction.org/wp-content/uploads/24042013-monitoring-novinarskih-samoregulatornih-tijela-u-cg.pdf</vt:lpwstr>
      </vt:variant>
      <vt:variant>
        <vt:lpwstr/>
      </vt:variant>
      <vt:variant>
        <vt:i4>589827</vt:i4>
      </vt:variant>
      <vt:variant>
        <vt:i4>33</vt:i4>
      </vt:variant>
      <vt:variant>
        <vt:i4>0</vt:i4>
      </vt:variant>
      <vt:variant>
        <vt:i4>5</vt:i4>
      </vt:variant>
      <vt:variant>
        <vt:lpwstr>http://www.hraction.org/wp-content/uploads/O_NACELNOM_PRAVNOM_STAVU_VRHOVNOG_SUDA_29.pdf</vt:lpwstr>
      </vt:variant>
      <vt:variant>
        <vt:lpwstr/>
      </vt:variant>
      <vt:variant>
        <vt:i4>7667836</vt:i4>
      </vt:variant>
      <vt:variant>
        <vt:i4>30</vt:i4>
      </vt:variant>
      <vt:variant>
        <vt:i4>0</vt:i4>
      </vt:variant>
      <vt:variant>
        <vt:i4>5</vt:i4>
      </vt:variant>
      <vt:variant>
        <vt:lpwstr>http://www.hraction.org/wp-content/uploads/24042013-monitoring-novinarskih-samoregulatornih-tijela-u-cg.pdf</vt:lpwstr>
      </vt:variant>
      <vt:variant>
        <vt:lpwstr/>
      </vt:variant>
      <vt:variant>
        <vt:i4>6422556</vt:i4>
      </vt:variant>
      <vt:variant>
        <vt:i4>27</vt:i4>
      </vt:variant>
      <vt:variant>
        <vt:i4>0</vt:i4>
      </vt:variant>
      <vt:variant>
        <vt:i4>5</vt:i4>
      </vt:variant>
      <vt:variant>
        <vt:lpwstr>http://www.hraction.org/wp-content/uploads/predlog_reforme-zakon_o_kleveti_i_uvredi.pdf</vt:lpwstr>
      </vt:variant>
      <vt:variant>
        <vt:lpwstr/>
      </vt:variant>
      <vt:variant>
        <vt:i4>6291577</vt:i4>
      </vt:variant>
      <vt:variant>
        <vt:i4>24</vt:i4>
      </vt:variant>
      <vt:variant>
        <vt:i4>0</vt:i4>
      </vt:variant>
      <vt:variant>
        <vt:i4>5</vt:i4>
      </vt:variant>
      <vt:variant>
        <vt:lpwstr>http://www.hraction.org/wp-content/uploads/Izvje%C5%A1taj-o-procesuiranju-napada-na-novinare-14.3.2013-fin.pdf</vt:lpwstr>
      </vt:variant>
      <vt:variant>
        <vt:lpwstr/>
      </vt:variant>
      <vt:variant>
        <vt:i4>2883616</vt:i4>
      </vt:variant>
      <vt:variant>
        <vt:i4>21</vt:i4>
      </vt:variant>
      <vt:variant>
        <vt:i4>0</vt:i4>
      </vt:variant>
      <vt:variant>
        <vt:i4>5</vt:i4>
      </vt:variant>
      <vt:variant>
        <vt:lpwstr>http://www.hraction.org/wp-content/uploads/Izvje%C5%A1taj-Komanski-most.pdf</vt:lpwstr>
      </vt:variant>
      <vt:variant>
        <vt:lpwstr/>
      </vt:variant>
      <vt:variant>
        <vt:i4>3801208</vt:i4>
      </vt:variant>
      <vt:variant>
        <vt:i4>18</vt:i4>
      </vt:variant>
      <vt:variant>
        <vt:i4>0</vt:i4>
      </vt:variant>
      <vt:variant>
        <vt:i4>5</vt:i4>
      </vt:variant>
      <vt:variant>
        <vt:lpwstr>http://www.hraction.org/?p=3434</vt:lpwstr>
      </vt:variant>
      <vt:variant>
        <vt:lpwstr/>
      </vt:variant>
      <vt:variant>
        <vt:i4>4718639</vt:i4>
      </vt:variant>
      <vt:variant>
        <vt:i4>15</vt:i4>
      </vt:variant>
      <vt:variant>
        <vt:i4>0</vt:i4>
      </vt:variant>
      <vt:variant>
        <vt:i4>5</vt:i4>
      </vt:variant>
      <vt:variant>
        <vt:lpwstr>http://www.hraction.org/wp-content/uploads/Izvjestaj FINAL_15062012-1.pdf</vt:lpwstr>
      </vt:variant>
      <vt:variant>
        <vt:lpwstr/>
      </vt:variant>
      <vt:variant>
        <vt:i4>6094971</vt:i4>
      </vt:variant>
      <vt:variant>
        <vt:i4>12</vt:i4>
      </vt:variant>
      <vt:variant>
        <vt:i4>0</vt:i4>
      </vt:variant>
      <vt:variant>
        <vt:i4>5</vt:i4>
      </vt:variant>
      <vt:variant>
        <vt:lpwstr>http://www.hraction.org/wp-content/uploads/Tabela-sa-preporukama_09082012.pdf</vt:lpwstr>
      </vt:variant>
      <vt:variant>
        <vt:lpwstr/>
      </vt:variant>
      <vt:variant>
        <vt:i4>6094971</vt:i4>
      </vt:variant>
      <vt:variant>
        <vt:i4>9</vt:i4>
      </vt:variant>
      <vt:variant>
        <vt:i4>0</vt:i4>
      </vt:variant>
      <vt:variant>
        <vt:i4>5</vt:i4>
      </vt:variant>
      <vt:variant>
        <vt:lpwstr>http://www.hraction.org/wp-content/uploads/Tabela-sa-preporukama_09082012.pdf</vt:lpwstr>
      </vt:variant>
      <vt:variant>
        <vt:lpwstr/>
      </vt:variant>
      <vt:variant>
        <vt:i4>4063357</vt:i4>
      </vt:variant>
      <vt:variant>
        <vt:i4>6</vt:i4>
      </vt:variant>
      <vt:variant>
        <vt:i4>0</vt:i4>
      </vt:variant>
      <vt:variant>
        <vt:i4>5</vt:i4>
      </vt:variant>
      <vt:variant>
        <vt:lpwstr>http://www.hraction.org/?p=1154</vt:lpwstr>
      </vt:variant>
      <vt:variant>
        <vt:lpwstr/>
      </vt:variant>
      <vt:variant>
        <vt:i4>4653119</vt:i4>
      </vt:variant>
      <vt:variant>
        <vt:i4>3</vt:i4>
      </vt:variant>
      <vt:variant>
        <vt:i4>0</vt:i4>
      </vt:variant>
      <vt:variant>
        <vt:i4>5</vt:i4>
      </vt:variant>
      <vt:variant>
        <vt:lpwstr>http://www.hraction.org/wp-content/uploads/Ljudska_prava_u_Crnoj_Gori_2010-2011.pdf</vt:lpwstr>
      </vt:variant>
      <vt:variant>
        <vt:lpwstr/>
      </vt:variant>
      <vt:variant>
        <vt:i4>1507413</vt:i4>
      </vt:variant>
      <vt:variant>
        <vt:i4>0</vt:i4>
      </vt:variant>
      <vt:variant>
        <vt:i4>0</vt:i4>
      </vt:variant>
      <vt:variant>
        <vt:i4>5</vt:i4>
      </vt:variant>
      <vt:variant>
        <vt:lpwstr>http://www.hraction.org/wp-content/uploads/knjiga-cg.pdf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IZVJESTAJ</dc:title>
  <dc:subject/>
  <dc:creator>Compaq</dc:creator>
  <cp:keywords/>
  <cp:lastModifiedBy>--</cp:lastModifiedBy>
  <cp:revision>2</cp:revision>
  <cp:lastPrinted>2012-09-26T14:07:00Z</cp:lastPrinted>
  <dcterms:created xsi:type="dcterms:W3CDTF">2013-07-10T06:36:00Z</dcterms:created>
  <dcterms:modified xsi:type="dcterms:W3CDTF">2013-07-10T06:36:00Z</dcterms:modified>
</cp:coreProperties>
</file>