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C3" w:rsidRPr="005D5A7A" w:rsidRDefault="00404FC3" w:rsidP="005D5A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A7A">
        <w:rPr>
          <w:rFonts w:ascii="Times New Roman" w:hAnsi="Times New Roman" w:cs="Times New Roman"/>
          <w:b/>
          <w:sz w:val="24"/>
          <w:szCs w:val="24"/>
        </w:rPr>
        <w:t>Program HRA – sloboda izražavanja</w:t>
      </w:r>
    </w:p>
    <w:p w:rsidR="00404FC3" w:rsidRPr="005D5A7A" w:rsidRDefault="00404FC3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Od 2007.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godine Akcija za ljudska prava se zalaže za poštovanje slobode izražavanja na nivou minimalnih evropskih standarda u Crnoj Gori, što podrazumijeva praćenje poštovanja standarda utvrđenih u praksi Evropskog suda za ljudska prava u praksi crnogorskih sudova u oblasti utvrđivanja odgovornosti za povredu časti i ugleda (klevete i uvrede) i javno zalaganje za primjenu tih standarda.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HRA je 2007.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inicirala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prevod publikacije Savjeta Evrope – ,,</w:t>
      </w:r>
      <w:r w:rsidRPr="005D5A7A">
        <w:rPr>
          <w:rFonts w:ascii="Times New Roman" w:hAnsi="Times New Roman" w:cs="Times New Roman"/>
          <w:b/>
          <w:sz w:val="24"/>
          <w:szCs w:val="24"/>
        </w:rPr>
        <w:t>Sloboda izražavanja - vodič za primjenu člana 10 Evropske konvencije za zaštitu ljudskih prava</w:t>
      </w:r>
      <w:r w:rsidRPr="005D5A7A">
        <w:rPr>
          <w:rFonts w:ascii="Times New Roman" w:hAnsi="Times New Roman" w:cs="Times New Roman"/>
          <w:sz w:val="24"/>
          <w:szCs w:val="24"/>
        </w:rPr>
        <w:t>” i aktivno učestvovala u distribuciji ove publikacije sudijama, advokatima i novinarima.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U septembru 2009.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HRA je apelovala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Ministarstvo pravde i Vrhovni sud Crne Gore da hitno obezbijede zvanične prevode ključnih presuda Evropskog suda za ljudska prava koje se odnose na oblast slobode izražavanja i preduzmu mjere da Vrhovni sud aktivno promoviše primjenu standarda koji su njima uspostavljeni (http://www.hraction.org/?p=235).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Naglašeno je da je Zakon o medijima još 2002.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propisao da će se primjenjivati u skladu s praksom Evropskog suda za ljudska prava, da Evropska konvencija o ljudskim pravima obavezuje Crnu Goru od 2004.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, da je prilikom prijema u Savjet Evrope 2007. godine Crna Gora kao suverena država preuzela obavezu da „preduzme sve potrebne mjere da sudije primjenjuju praksu Evropskog suda za ljudska prava“, a da je Akcionim planom za sprovođenje Strategije reforme pravosuđa Vlade Crne Gore predviđeno da se sa objavljivanjem relevantnih presuda Evropskog suda na internet stranici Vrhovnog suda započne prije kraja 2008.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>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Vrhovni sud je 2010.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počeo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sa objavljivanjem odluka Evropskog suda za ljudska prava, u okviru sudske prakse. Odluke su podijeljene u dvije grupe: Odluke Evropskog suda za ljudska prava protiv Crne gore i Odluke Evropskog suda za ljudska prava. Četiri presude koje se odnose na slobodu izražavanja objavljene su u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okviru ”</w:t>
      </w:r>
      <w:proofErr w:type="gramEnd"/>
      <w:r w:rsidRPr="005D5A7A">
        <w:rPr>
          <w:rFonts w:ascii="Times New Roman" w:hAnsi="Times New Roman" w:cs="Times New Roman"/>
          <w:b/>
          <w:sz w:val="24"/>
          <w:szCs w:val="24"/>
        </w:rPr>
        <w:t>Publikacije presuda Evropskog suda za ljudska prava</w:t>
      </w:r>
      <w:r w:rsidRPr="005D5A7A">
        <w:rPr>
          <w:rFonts w:ascii="Times New Roman" w:hAnsi="Times New Roman" w:cs="Times New Roman"/>
          <w:sz w:val="24"/>
          <w:szCs w:val="24"/>
        </w:rPr>
        <w:t xml:space="preserve">”: </w:t>
      </w:r>
      <w:r w:rsidRPr="005D5A7A">
        <w:rPr>
          <w:rFonts w:ascii="Times New Roman" w:hAnsi="Times New Roman" w:cs="Times New Roman"/>
          <w:i/>
          <w:sz w:val="24"/>
          <w:szCs w:val="24"/>
        </w:rPr>
        <w:t>Lepojić protiv Srbije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2007, </w:t>
      </w:r>
      <w:r w:rsidRPr="005D5A7A">
        <w:rPr>
          <w:rFonts w:ascii="Times New Roman" w:hAnsi="Times New Roman" w:cs="Times New Roman"/>
          <w:i/>
          <w:sz w:val="24"/>
          <w:szCs w:val="24"/>
        </w:rPr>
        <w:t>Lingens protiv Austrije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1986, </w:t>
      </w:r>
      <w:r w:rsidRPr="005D5A7A">
        <w:rPr>
          <w:rFonts w:ascii="Times New Roman" w:hAnsi="Times New Roman" w:cs="Times New Roman"/>
          <w:i/>
          <w:sz w:val="24"/>
          <w:szCs w:val="24"/>
        </w:rPr>
        <w:t>Prager i Oberschlick protiv Austrije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1995, </w:t>
      </w:r>
      <w:r w:rsidRPr="005D5A7A">
        <w:rPr>
          <w:rFonts w:ascii="Times New Roman" w:hAnsi="Times New Roman" w:cs="Times New Roman"/>
          <w:i/>
          <w:sz w:val="24"/>
          <w:szCs w:val="24"/>
        </w:rPr>
        <w:t>Worm protiv Austrije</w:t>
      </w:r>
      <w:r w:rsidRPr="005D5A7A">
        <w:rPr>
          <w:rFonts w:ascii="Times New Roman" w:hAnsi="Times New Roman" w:cs="Times New Roman"/>
          <w:sz w:val="24"/>
          <w:szCs w:val="24"/>
        </w:rPr>
        <w:t>, 1997.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U februaru 2010, HRA je u saradnji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Novinarskim samoregulatornim tijelom uputila Vladi Crne Gore </w:t>
      </w:r>
      <w:r w:rsidRPr="005D5A7A">
        <w:rPr>
          <w:rFonts w:ascii="Times New Roman" w:hAnsi="Times New Roman" w:cs="Times New Roman"/>
          <w:b/>
          <w:i/>
          <w:sz w:val="24"/>
          <w:szCs w:val="24"/>
        </w:rPr>
        <w:t>Inicijativu za saradnju na temeljnoj reformi zakonskog uređivanja odgovornosti za povredu časti i ugleda u skladu sa evropskim standardima</w:t>
      </w:r>
      <w:r w:rsidRPr="005D5A7A">
        <w:rPr>
          <w:rFonts w:ascii="Times New Roman" w:hAnsi="Times New Roman" w:cs="Times New Roman"/>
          <w:sz w:val="24"/>
          <w:szCs w:val="24"/>
        </w:rPr>
        <w:t xml:space="preserve"> u okviru koje je predloženo:</w:t>
      </w:r>
    </w:p>
    <w:p w:rsidR="00802510" w:rsidRPr="005D5A7A" w:rsidRDefault="00404FC3" w:rsidP="008D2C7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organizacija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regionalnog okruglog stola, uz učešće stručnjaka Savjeta Evrope, na kome bi seobezbijedila međunarodna razmjena iskustava u pogledu uređenja odgovornosti za povredu časti i ugleda; </w:t>
      </w:r>
    </w:p>
    <w:p w:rsidR="00404FC3" w:rsidRPr="005D5A7A" w:rsidRDefault="00404FC3" w:rsidP="005D5A7A">
      <w:pPr>
        <w:pStyle w:val="NoSpacing"/>
        <w:ind w:firstLine="851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formiranje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radne grupe koja bi predložila predlog reforme i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4FC3" w:rsidRPr="005D5A7A" w:rsidRDefault="00404FC3" w:rsidP="008D2C7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javna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rasprava, na temelju čijih zaključaka bi bio formulisan konačni predlog odgovarajućih izmjena i dopuna zakona i/ili novi zakon koji će obezbijediti primjenu evropskih standarda u praksi. 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Kako,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žalost, nijesmo naišli na odgovarajuće razumijevanje od strane Vlade, sami smo organizovali </w:t>
      </w:r>
      <w:r w:rsidRPr="005D5A7A">
        <w:rPr>
          <w:rFonts w:ascii="Times New Roman" w:hAnsi="Times New Roman" w:cs="Times New Roman"/>
          <w:b/>
          <w:sz w:val="24"/>
          <w:szCs w:val="24"/>
        </w:rPr>
        <w:t>regionalni okrugli sto</w:t>
      </w:r>
      <w:r w:rsidRPr="005D5A7A">
        <w:rPr>
          <w:rFonts w:ascii="Times New Roman" w:hAnsi="Times New Roman" w:cs="Times New Roman"/>
          <w:sz w:val="24"/>
          <w:szCs w:val="24"/>
        </w:rPr>
        <w:t xml:space="preserve"> uz podršku Instituta za otvoreno društvo i Britanske ambasade u Podgorici i formirali radnu grupu pravnika, čiji je savjetnik bio i ekspert Savjeta </w:t>
      </w:r>
      <w:r w:rsidRPr="005D5A7A">
        <w:rPr>
          <w:rFonts w:ascii="Times New Roman" w:hAnsi="Times New Roman" w:cs="Times New Roman"/>
          <w:sz w:val="24"/>
          <w:szCs w:val="24"/>
        </w:rPr>
        <w:lastRenderedPageBreak/>
        <w:t xml:space="preserve">Evrope da izradi predlog reforme zakona.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Povodom održanog skupa, Akcija za ljudska prava je izdala zbornik izlaganja, pod nazivom „Reforma odg</w:t>
      </w:r>
      <w:r w:rsidR="00802510" w:rsidRPr="005D5A7A">
        <w:rPr>
          <w:rFonts w:ascii="Times New Roman" w:hAnsi="Times New Roman" w:cs="Times New Roman"/>
          <w:sz w:val="24"/>
          <w:szCs w:val="24"/>
        </w:rPr>
        <w:t>ovornosti za klevetu i uvredu“.</w:t>
      </w:r>
      <w:proofErr w:type="gramEnd"/>
      <w:r w:rsidR="00802510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Evropska komisija je 9.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2010. Objavila </w:t>
      </w:r>
      <w:r w:rsidRPr="005D5A7A">
        <w:rPr>
          <w:rFonts w:ascii="Times New Roman" w:hAnsi="Times New Roman" w:cs="Times New Roman"/>
          <w:b/>
          <w:sz w:val="24"/>
          <w:szCs w:val="24"/>
        </w:rPr>
        <w:t>Mišljenje o zahtjevu Crne Gore za prijem u članstvo</w:t>
      </w:r>
      <w:bookmarkStart w:id="0" w:name="_GoBack"/>
      <w:bookmarkEnd w:id="0"/>
      <w:r w:rsidRPr="005D5A7A">
        <w:rPr>
          <w:rFonts w:ascii="Times New Roman" w:hAnsi="Times New Roman" w:cs="Times New Roman"/>
          <w:b/>
          <w:sz w:val="24"/>
          <w:szCs w:val="24"/>
        </w:rPr>
        <w:t xml:space="preserve"> Evropske unije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u kojem je navedeno: U pogledu slobode medija, zastrašivanje novinara i nesrazmjerne kazne zbog klevete predstavljaju razloge za zabrinutost. Zakoni i praksa u pogledu utvrđivanja odgovornosti za klevetu moraju biti potpuno usklađeni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praksom Evropskog suda za ljudska prava.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Nedjelju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kasnije, 17.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2010, radna grupa Akcije za ljudska prava objavila je </w:t>
      </w:r>
      <w:r w:rsidRPr="00750941">
        <w:rPr>
          <w:rFonts w:ascii="Times New Roman" w:hAnsi="Times New Roman" w:cs="Times New Roman"/>
          <w:b/>
          <w:sz w:val="24"/>
          <w:szCs w:val="24"/>
        </w:rPr>
        <w:t>Predlog reforme ustavnih i zakonskih odredbi o odgovornosti za povredu časti i ugleda.</w:t>
      </w:r>
    </w:p>
    <w:p w:rsidR="00404FC3" w:rsidRPr="005D5A7A" w:rsidRDefault="00404FC3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Predložili smo izmjene i dopune:</w:t>
      </w:r>
    </w:p>
    <w:p w:rsidR="00404FC3" w:rsidRPr="005D5A7A" w:rsidRDefault="00404FC3" w:rsidP="005D5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1.  </w:t>
      </w:r>
      <w:r w:rsidRPr="00750941">
        <w:rPr>
          <w:rFonts w:ascii="Times New Roman" w:hAnsi="Times New Roman" w:cs="Times New Roman"/>
          <w:b/>
          <w:sz w:val="24"/>
          <w:szCs w:val="24"/>
        </w:rPr>
        <w:t>Ustava Crne Gore</w:t>
      </w:r>
      <w:r w:rsidRPr="005D5A7A">
        <w:rPr>
          <w:rFonts w:ascii="Times New Roman" w:hAnsi="Times New Roman" w:cs="Times New Roman"/>
          <w:sz w:val="24"/>
          <w:szCs w:val="24"/>
        </w:rPr>
        <w:t xml:space="preserve"> (članova 47 i 49);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4FC3" w:rsidRPr="005D5A7A" w:rsidRDefault="00404FC3" w:rsidP="005D5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2.  </w:t>
      </w:r>
      <w:r w:rsidRPr="00750941">
        <w:rPr>
          <w:rFonts w:ascii="Times New Roman" w:hAnsi="Times New Roman" w:cs="Times New Roman"/>
          <w:b/>
          <w:sz w:val="24"/>
          <w:szCs w:val="24"/>
        </w:rPr>
        <w:t>Krivičnog zakonika</w:t>
      </w:r>
      <w:r w:rsidRPr="005D5A7A">
        <w:rPr>
          <w:rFonts w:ascii="Times New Roman" w:hAnsi="Times New Roman" w:cs="Times New Roman"/>
          <w:sz w:val="24"/>
          <w:szCs w:val="24"/>
        </w:rPr>
        <w:t>, u vidu: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4FC3" w:rsidRPr="005D5A7A" w:rsidRDefault="00404FC3" w:rsidP="001947D1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2.1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potpune dekriminalizacije Glave XVII (k.d. protiv časti i ugleda) i alternativno, </w:t>
      </w:r>
    </w:p>
    <w:p w:rsidR="00404FC3" w:rsidRPr="005D5A7A" w:rsidRDefault="00404FC3" w:rsidP="005D5A7A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2.2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izmjene i dopune krivičnih djela predviđenih u toj glavi; </w:t>
      </w:r>
    </w:p>
    <w:p w:rsidR="00404FC3" w:rsidRPr="005D5A7A" w:rsidRDefault="00404FC3" w:rsidP="001947D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2.3</w:t>
      </w:r>
      <w:r w:rsidRPr="005D5A7A">
        <w:rPr>
          <w:rFonts w:ascii="Times New Roman" w:hAnsi="Times New Roman" w:cs="Times New Roman"/>
          <w:sz w:val="24"/>
          <w:szCs w:val="24"/>
        </w:rPr>
        <w:tab/>
        <w:t xml:space="preserve">predloga novih krivičnih djela „Sprječavanje novinara u obavljanju profesionalnih zadataka” (čl. 179a) i „Napad na novinara u obavljanju profesionalnih zadataka” (čl. 179b); </w:t>
      </w:r>
    </w:p>
    <w:p w:rsidR="00404FC3" w:rsidRPr="005D5A7A" w:rsidRDefault="00404FC3" w:rsidP="00194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3.  </w:t>
      </w:r>
      <w:r w:rsidRPr="00750941">
        <w:rPr>
          <w:rFonts w:ascii="Times New Roman" w:hAnsi="Times New Roman" w:cs="Times New Roman"/>
          <w:b/>
          <w:sz w:val="24"/>
          <w:szCs w:val="24"/>
        </w:rPr>
        <w:t>Zakona o medijima</w:t>
      </w:r>
      <w:r w:rsidRPr="005D5A7A">
        <w:rPr>
          <w:rFonts w:ascii="Times New Roman" w:hAnsi="Times New Roman" w:cs="Times New Roman"/>
          <w:sz w:val="24"/>
          <w:szCs w:val="24"/>
        </w:rPr>
        <w:t xml:space="preserve"> (preciziranje dužne novinarske pažnje; ograničenje iznosa naknade nematerijalne štete za povredu časti i ugleda; odredbe o zaštiti privatnosti i izuzecima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obaveze ove zaštite). </w:t>
      </w:r>
    </w:p>
    <w:p w:rsidR="00404FC3" w:rsidRPr="005D5A7A" w:rsidRDefault="00404FC3" w:rsidP="005D5A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4FC3" w:rsidRPr="005D5A7A" w:rsidRDefault="00404FC3" w:rsidP="005D5A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4FC3" w:rsidRPr="005D5A7A" w:rsidRDefault="00404FC3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941">
        <w:rPr>
          <w:rFonts w:ascii="Times New Roman" w:hAnsi="Times New Roman" w:cs="Times New Roman"/>
          <w:b/>
          <w:sz w:val="24"/>
          <w:szCs w:val="24"/>
        </w:rPr>
        <w:t>Raspravu o predlogu</w:t>
      </w:r>
      <w:r w:rsidRPr="005D5A7A">
        <w:rPr>
          <w:rFonts w:ascii="Times New Roman" w:hAnsi="Times New Roman" w:cs="Times New Roman"/>
          <w:sz w:val="24"/>
          <w:szCs w:val="24"/>
        </w:rPr>
        <w:t xml:space="preserve"> organizovali smo 26.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2010 godine.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U stručnoj raspravi su, između ostalih 45 učesnika, prisustvovali i zamjenik šefa Delegacije E</w:t>
      </w:r>
      <w:r w:rsidR="00802510" w:rsidRPr="005D5A7A">
        <w:rPr>
          <w:rFonts w:ascii="Times New Roman" w:hAnsi="Times New Roman" w:cs="Times New Roman"/>
          <w:sz w:val="24"/>
          <w:szCs w:val="24"/>
        </w:rPr>
        <w:t>U u Crnoj Gori Mr Clive Rumbold</w:t>
      </w:r>
      <w:r w:rsidR="00802510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D5A7A">
        <w:rPr>
          <w:rFonts w:ascii="Times New Roman" w:hAnsi="Times New Roman" w:cs="Times New Roman"/>
          <w:sz w:val="24"/>
          <w:szCs w:val="24"/>
        </w:rPr>
        <w:t xml:space="preserve">, koji je naglasio da je jačanje medija jedan od uslova za otvaranje pristupnih pregovora između Crne Gore i Evropske Unije, kao i predstavnici Vlade Crne Gore.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Prisustvovao je i značajan broj novinara, odnosno urednika medija koji djeluju u Crnoj Gori.</w:t>
      </w:r>
      <w:proofErr w:type="gramEnd"/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Predlog je dostavljen premijeru Crne Gore, odnosno ministarstvima pravde i kulture, sporta i medija, svim poslaničkim klubovima u Skupštini Crne Gore, skupštinskom Odboru za politički sistem, pravosuđe i upravu, kao i Odboru za ljudska prava.</w:t>
      </w:r>
      <w:proofErr w:type="gramEnd"/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Pošto je Vlada Crne Gore izradila Nacrt Akcionog plana za praćenje sprovođenja preporuka iz mišljenja Evropske Komisije, izradili smo i dostavili Vladi predlog dopune Akcionog plana za oblast medija.</w:t>
      </w:r>
      <w:proofErr w:type="gramEnd"/>
    </w:p>
    <w:p w:rsidR="00802510" w:rsidRPr="005D5A7A" w:rsidRDefault="00802510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510" w:rsidRPr="005D5A7A" w:rsidRDefault="00802510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lastRenderedPageBreak/>
        <w:t xml:space="preserve">Između ostalog, usvojena je mjera izrade Izvještaja o procesuiranju napada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novinare koja je uvršetna u Akcioni plan.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Ministarstvo  pravde  je  početkom  aprila  objavilo  Predlog Zakona  o  izmjenama  i  dopunama</w:t>
      </w:r>
    </w:p>
    <w:p w:rsidR="00404FC3" w:rsidRPr="005D5A7A" w:rsidRDefault="00560575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Krivičnog zakonika</w:t>
      </w:r>
      <w:r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04FC3" w:rsidRPr="005D5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4FC3" w:rsidRPr="005D5A7A">
        <w:rPr>
          <w:rFonts w:ascii="Times New Roman" w:hAnsi="Times New Roman" w:cs="Times New Roman"/>
          <w:sz w:val="24"/>
          <w:szCs w:val="24"/>
        </w:rPr>
        <w:t xml:space="preserve"> Akcija je reagovala obzirom da je Ministarstvo pravde, u skladu s izričitom formulacijom Akcionog plana, u radnoj verziji Nacrta zakona o izmjenama i dopunama KZ predložilo brisanje krivičnih djela Uvreda (čl. 195) i Kleveta (čl. 196), pa je Vlada usvojivši Predlog zakona odustala od potpune dekriminalizacije u korist svih, i predložila dekriminalizaciju samo u korist novinara i urednika za sadržaj objavljen u medijima.</w:t>
      </w:r>
      <w:r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Reagovanje j</w:t>
      </w:r>
      <w:r w:rsidR="00560575" w:rsidRPr="005D5A7A">
        <w:rPr>
          <w:rFonts w:ascii="Times New Roman" w:hAnsi="Times New Roman" w:cs="Times New Roman"/>
          <w:sz w:val="24"/>
          <w:szCs w:val="24"/>
        </w:rPr>
        <w:t>e objavljeno u dnevnim novinama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5D5A7A">
        <w:rPr>
          <w:rFonts w:ascii="Times New Roman" w:hAnsi="Times New Roman" w:cs="Times New Roman"/>
          <w:sz w:val="24"/>
          <w:szCs w:val="24"/>
        </w:rPr>
        <w:t>, nakon čega su uslijedile slične reakcije i</w:t>
      </w:r>
      <w:r w:rsidR="00560575" w:rsidRPr="005D5A7A">
        <w:rPr>
          <w:rFonts w:ascii="Times New Roman" w:hAnsi="Times New Roman" w:cs="Times New Roman"/>
          <w:sz w:val="24"/>
          <w:szCs w:val="24"/>
        </w:rPr>
        <w:t xml:space="preserve"> drugih nevladinih organizacija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5D5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Akcija za ljudska prava je, zatim organizovala sve relevantne nevladine organizacije koje su se protivile ovakvom predlogu i 13.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dostavila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premijeru Crne Gore stav u prilog dekriminalizaciji klevete i uvrede koji su pod</w:t>
      </w:r>
      <w:r w:rsidR="00560575" w:rsidRPr="005D5A7A">
        <w:rPr>
          <w:rFonts w:ascii="Times New Roman" w:hAnsi="Times New Roman" w:cs="Times New Roman"/>
          <w:sz w:val="24"/>
          <w:szCs w:val="24"/>
        </w:rPr>
        <w:t>ržale 22 nevladine organizacije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5D5A7A">
        <w:rPr>
          <w:rFonts w:ascii="Times New Roman" w:hAnsi="Times New Roman" w:cs="Times New Roman"/>
          <w:sz w:val="24"/>
          <w:szCs w:val="24"/>
        </w:rPr>
        <w:t>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Vlada Crne Gore je u aprilu 2011.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prihvatila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amandmane Ministarstva pravde na Predlog zakona o izmjenama i dopunama Krivičnog zakonika, čime se postiže potpuna dekriminalizacija klevete.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Akcija za ljudska prava je reagovala i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jvne pokušaje da se ospori potreba dekriminalizacije klevete i urede.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>Odlukom Skupštine Crne Gore, dekriminalizacija klevete i uvrede je izvršena 22.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juna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2011, čime su ova dva krivična djela izbrisana iz Krivičnog zakonika Crne Gore.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Akcija za ljudska prava nastavlja da se zalaže za dalju reformu odgovornosti u skladu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Predlogom.</w:t>
      </w:r>
    </w:p>
    <w:p w:rsidR="00404FC3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>U okviru izvještaja Ljudsk</w:t>
      </w:r>
      <w:r w:rsidR="00560575" w:rsidRPr="005D5A7A">
        <w:rPr>
          <w:rFonts w:ascii="Times New Roman" w:hAnsi="Times New Roman" w:cs="Times New Roman"/>
          <w:sz w:val="24"/>
          <w:szCs w:val="24"/>
        </w:rPr>
        <w:t>a prava u Crnoj Gori 2010-2011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5D5A7A">
        <w:rPr>
          <w:rFonts w:ascii="Times New Roman" w:hAnsi="Times New Roman" w:cs="Times New Roman"/>
          <w:sz w:val="24"/>
          <w:szCs w:val="24"/>
        </w:rPr>
        <w:t xml:space="preserve"> izrađen je posebni izvještaj o slobodi izražavanja koji uključuje pravnu analizu zakonskih propisa i njihovu usaglašenost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međunarodnim standardima i sprovođenje u praksi kao i izvještaj o napadima na novinare, koji je dostupan i na stranici posvećenoj slobodi izražavanja.</w:t>
      </w:r>
      <w:r w:rsidR="0056057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BE0383" w:rsidRPr="008D2C70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Akcija za ljudska prava nastavlja da skreće pažnju javnosti i osuđuje napade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novinare. U tom smislu, i u cilju dopune i potpunije izrade Izvještaja o procesuiranju napada na novinare i mjerama</w:t>
      </w:r>
      <w:r w:rsidR="00560575" w:rsidRPr="005D5A7A">
        <w:rPr>
          <w:rFonts w:ascii="Times New Roman" w:hAnsi="Times New Roman" w:cs="Times New Roman"/>
          <w:sz w:val="24"/>
          <w:szCs w:val="24"/>
        </w:rPr>
        <w:t xml:space="preserve"> </w:t>
      </w:r>
      <w:r w:rsidRPr="005D5A7A">
        <w:rPr>
          <w:rFonts w:ascii="Times New Roman" w:hAnsi="Times New Roman" w:cs="Times New Roman"/>
          <w:sz w:val="24"/>
          <w:szCs w:val="24"/>
        </w:rPr>
        <w:t xml:space="preserve">koje su nadležni organi preduzeli tim povodom, HRA je </w:t>
      </w:r>
      <w:r w:rsidR="00BE0383" w:rsidRPr="005D5A7A">
        <w:rPr>
          <w:rFonts w:ascii="Times New Roman" w:hAnsi="Times New Roman" w:cs="Times New Roman"/>
          <w:sz w:val="24"/>
          <w:szCs w:val="24"/>
        </w:rPr>
        <w:t>uputila pismo ministru kulture</w:t>
      </w:r>
      <w:r w:rsidR="00BE0383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BE0383" w:rsidRPr="005D5A7A">
        <w:rPr>
          <w:rFonts w:ascii="Times New Roman" w:hAnsi="Times New Roman" w:cs="Times New Roman"/>
          <w:sz w:val="24"/>
          <w:szCs w:val="24"/>
        </w:rPr>
        <w:t>, a zatim i premijeru</w:t>
      </w:r>
      <w:r w:rsidR="00BE0383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5D5A7A">
        <w:rPr>
          <w:rFonts w:ascii="Times New Roman" w:hAnsi="Times New Roman" w:cs="Times New Roman"/>
          <w:sz w:val="24"/>
          <w:szCs w:val="24"/>
        </w:rPr>
        <w:t xml:space="preserve">, kako bi skrenula njihovu pažnju na potrebu dopune Izvještaja o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lastRenderedPageBreak/>
        <w:t>napadima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na novinare koji je izrađen kao mjera iz Akcionog plana za praćenje sprovođenja preporuka iz mišljenja Evropske Komisije.</w:t>
      </w:r>
      <w:r w:rsidR="00AC65A5"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5A5" w:rsidRPr="005D5A7A">
        <w:rPr>
          <w:rFonts w:ascii="Times New Roman" w:hAnsi="Times New Roman" w:cs="Times New Roman"/>
          <w:sz w:val="24"/>
          <w:szCs w:val="24"/>
        </w:rPr>
        <w:t>HRA je u januaru 2014.</w:t>
      </w:r>
      <w:proofErr w:type="gramEnd"/>
      <w:r w:rsidR="00AC65A5"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5A5" w:rsidRPr="005D5A7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AC65A5" w:rsidRPr="005D5A7A">
        <w:rPr>
          <w:rFonts w:ascii="Times New Roman" w:hAnsi="Times New Roman" w:cs="Times New Roman"/>
          <w:sz w:val="24"/>
          <w:szCs w:val="24"/>
        </w:rPr>
        <w:t xml:space="preserve"> objavila izvještaj „Procesuiranje napada na novinare u Crnoj Gori“</w:t>
      </w:r>
      <w:r w:rsidR="00AC65A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AC65A5" w:rsidRPr="005D5A7A">
        <w:rPr>
          <w:rFonts w:ascii="Times New Roman" w:hAnsi="Times New Roman" w:cs="Times New Roman"/>
          <w:sz w:val="24"/>
          <w:szCs w:val="24"/>
        </w:rPr>
        <w:t xml:space="preserve">, koji je pored napada na novinare. </w:t>
      </w:r>
      <w:proofErr w:type="gramStart"/>
      <w:r w:rsidR="00AC65A5" w:rsidRPr="005D5A7A">
        <w:rPr>
          <w:rFonts w:ascii="Times New Roman" w:hAnsi="Times New Roman" w:cs="Times New Roman"/>
          <w:sz w:val="24"/>
          <w:szCs w:val="24"/>
        </w:rPr>
        <w:t>obuhvatio</w:t>
      </w:r>
      <w:proofErr w:type="gramEnd"/>
      <w:r w:rsidR="00AC65A5" w:rsidRPr="005D5A7A">
        <w:rPr>
          <w:rFonts w:ascii="Times New Roman" w:hAnsi="Times New Roman" w:cs="Times New Roman"/>
          <w:sz w:val="24"/>
          <w:szCs w:val="24"/>
        </w:rPr>
        <w:t xml:space="preserve"> i druge napade i ubistva u Crnoj Gori u vezi sa slobodom izražavanja. Izvještaj je dostavljen članovima tada novoosnovane Komisije za praćenje postupanja nadležnih organa u istragama slučajeva prijetnji i nasilja nad novinarima, ubistava novinara i napada na imovinu medija, čiji je predsjednik, Nikola Marković, zamjenik glavnog urednika </w:t>
      </w:r>
      <w:r w:rsidR="00AC65A5" w:rsidRPr="005D5A7A">
        <w:rPr>
          <w:rFonts w:ascii="Times New Roman" w:hAnsi="Times New Roman" w:cs="Times New Roman"/>
          <w:i/>
          <w:sz w:val="24"/>
          <w:szCs w:val="24"/>
        </w:rPr>
        <w:t xml:space="preserve">Dana, </w:t>
      </w:r>
      <w:r w:rsidR="00AC65A5" w:rsidRPr="005D5A7A">
        <w:rPr>
          <w:rFonts w:ascii="Times New Roman" w:hAnsi="Times New Roman" w:cs="Times New Roman"/>
          <w:sz w:val="24"/>
          <w:szCs w:val="24"/>
        </w:rPr>
        <w:t>izjavio da će izvještaj biti od velike koristi u radu Komisije i uštedjeti vrijeme.</w:t>
      </w:r>
      <w:r w:rsidR="00AC65A5" w:rsidRPr="005D5A7A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:rsidR="00560575" w:rsidRPr="005D5A7A" w:rsidRDefault="00404FC3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Na sajtu HRA nalazi se i baza presuda koje se odnose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slobodu izražavanja, kao i naši komentari na neke od presuda. Radi lakše preglednosti presude su razdvojene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krivični i pranični postupak kao i na presude Evropskog suda za ljudska prava, a komentari HRA su postavljeni ispod presuda na koje se odnose.</w:t>
      </w:r>
    </w:p>
    <w:p w:rsidR="00404FC3" w:rsidRPr="005D5A7A" w:rsidRDefault="00AC65A5" w:rsidP="008D2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HRA je sprovela i projekat </w:t>
      </w:r>
      <w:r w:rsidRPr="005D5A7A">
        <w:rPr>
          <w:rFonts w:ascii="Times New Roman" w:hAnsi="Times New Roman" w:cs="Times New Roman"/>
          <w:b/>
          <w:sz w:val="24"/>
          <w:szCs w:val="24"/>
        </w:rPr>
        <w:t>Obuka novinara iz domena ljudskih prava i sloboda i profesionalne etike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radionicama za urednike i novinare o slobodi izražavanja, pravu na privatnost, pretpostavci nevinosti i drugim temama iz oblasti ljudskih prava od posebnog značaja za obavljanje novinarske profesije. </w:t>
      </w:r>
      <w:hyperlink r:id="rId9" w:tgtFrame="_blank" w:history="1">
        <w:proofErr w:type="gramStart"/>
        <w:r w:rsidRPr="00130726">
          <w:rPr>
            <w:rStyle w:val="Hyperlink"/>
            <w:rFonts w:ascii="Times New Roman" w:hAnsi="Times New Roman" w:cs="Times New Roman"/>
            <w:sz w:val="24"/>
            <w:szCs w:val="24"/>
          </w:rPr>
          <w:t>Detaljnije o projektu</w:t>
        </w:r>
      </w:hyperlink>
      <w:r w:rsidR="001307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A5" w:rsidRPr="005D5A7A" w:rsidRDefault="00AC65A5" w:rsidP="005D5A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7A">
        <w:rPr>
          <w:rFonts w:ascii="Times New Roman" w:hAnsi="Times New Roman" w:cs="Times New Roman"/>
          <w:sz w:val="24"/>
          <w:szCs w:val="24"/>
        </w:rPr>
        <w:t xml:space="preserve">U okviru dvogodišnjeg projekta </w:t>
      </w:r>
      <w:r w:rsidRPr="005D5A7A">
        <w:rPr>
          <w:rFonts w:ascii="Times New Roman" w:hAnsi="Times New Roman" w:cs="Times New Roman"/>
          <w:b/>
          <w:sz w:val="24"/>
          <w:szCs w:val="24"/>
        </w:rPr>
        <w:t>Monitoring novinarskih samoregulatornih tijela u Crnoj Gori</w:t>
      </w:r>
      <w:r w:rsidRPr="005D5A7A">
        <w:rPr>
          <w:rFonts w:ascii="Times New Roman" w:hAnsi="Times New Roman" w:cs="Times New Roman"/>
          <w:sz w:val="24"/>
          <w:szCs w:val="24"/>
        </w:rPr>
        <w:t xml:space="preserve">, dvije godine smo u kontinuitetu posmatrali izvještavanje najuticajnijih medija u Crnoj Gori i samoregulatornih tijela (počevši od Medijskog savjeta za samoregulaciju i Savjeta za lokalnu štampu, a onda i pojedinačnih ombudsmana tv Vijesti, Dana, novine Vijesti i Monitora) i izradili </w:t>
      </w:r>
      <w:hyperlink r:id="rId10" w:tgtFrame="_blank" w:history="1">
        <w:r w:rsidRPr="00130726">
          <w:rPr>
            <w:rStyle w:val="Hyperlink"/>
            <w:rFonts w:ascii="Times New Roman" w:hAnsi="Times New Roman" w:cs="Times New Roman"/>
            <w:sz w:val="24"/>
            <w:szCs w:val="24"/>
          </w:rPr>
          <w:t>četiri periodična izvještaja</w:t>
        </w:r>
      </w:hyperlink>
      <w:r w:rsidRPr="005D5A7A">
        <w:rPr>
          <w:rFonts w:ascii="Times New Roman" w:hAnsi="Times New Roman" w:cs="Times New Roman"/>
          <w:sz w:val="24"/>
          <w:szCs w:val="24"/>
        </w:rPr>
        <w:t xml:space="preserve"> sa rezultatima monitoringa samoregulatornih tijela i istraživanja o kršenjima etičnosti i Kodeksa novinara Crne Gore u domaćim medijima. Tokom trajanja projekta, u saradnji sa Peterom Noorlanderom, advokatom i direktorom </w:t>
      </w:r>
      <w:r w:rsidRPr="005D5A7A">
        <w:rPr>
          <w:rFonts w:ascii="Times New Roman" w:hAnsi="Times New Roman" w:cs="Times New Roman"/>
          <w:i/>
          <w:sz w:val="24"/>
          <w:szCs w:val="24"/>
        </w:rPr>
        <w:t xml:space="preserve">Media Law Defence Initiative </w:t>
      </w:r>
      <w:r w:rsidRPr="005D5A7A">
        <w:rPr>
          <w:rFonts w:ascii="Times New Roman" w:hAnsi="Times New Roman" w:cs="Times New Roman"/>
          <w:sz w:val="24"/>
          <w:szCs w:val="24"/>
        </w:rPr>
        <w:t>iz Lon</w:t>
      </w:r>
      <w:r w:rsidR="00130726">
        <w:rPr>
          <w:rFonts w:ascii="Times New Roman" w:hAnsi="Times New Roman" w:cs="Times New Roman"/>
          <w:sz w:val="24"/>
          <w:szCs w:val="24"/>
        </w:rPr>
        <w:t xml:space="preserve">dona, HRA je započela izdavanje </w:t>
      </w:r>
      <w:hyperlink r:id="rId11" w:anchor="bilteni_si" w:tgtFrame="_blank" w:history="1">
        <w:commentRangeStart w:id="1"/>
        <w:r w:rsidRPr="00130726">
          <w:rPr>
            <w:rStyle w:val="Hyperlink"/>
            <w:rFonts w:ascii="Times New Roman" w:hAnsi="Times New Roman" w:cs="Times New Roman"/>
            <w:sz w:val="24"/>
            <w:szCs w:val="24"/>
          </w:rPr>
          <w:t>biltena o praksi Evropskog suda za ljudska prava u oblasti slobode izražavanja</w:t>
        </w:r>
        <w:commentRangeEnd w:id="1"/>
        <w:r w:rsidRPr="00130726">
          <w:rPr>
            <w:rStyle w:val="Hyperlink"/>
            <w:rFonts w:ascii="Times New Roman" w:hAnsi="Times New Roman" w:cs="Times New Roman"/>
            <w:vanish/>
            <w:sz w:val="24"/>
            <w:szCs w:val="24"/>
          </w:rPr>
          <w:commentReference w:id="1"/>
        </w:r>
      </w:hyperlink>
      <w:r w:rsidRPr="005D5A7A">
        <w:rPr>
          <w:rFonts w:ascii="Times New Roman" w:hAnsi="Times New Roman" w:cs="Times New Roman"/>
          <w:sz w:val="24"/>
          <w:szCs w:val="24"/>
        </w:rPr>
        <w:t>, dva puta mjesečno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C65A5" w:rsidRPr="005D5A7A" w:rsidRDefault="00AC65A5" w:rsidP="005D5A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A7A">
        <w:rPr>
          <w:rFonts w:ascii="Times New Roman" w:hAnsi="Times New Roman" w:cs="Times New Roman"/>
          <w:sz w:val="24"/>
          <w:szCs w:val="24"/>
        </w:rPr>
        <w:t xml:space="preserve">Objavljivanje biltena je u kontinuitetu omogućeno u okviru projekta </w:t>
      </w:r>
      <w:r w:rsidRPr="005D5A7A">
        <w:rPr>
          <w:rFonts w:ascii="Times New Roman" w:hAnsi="Times New Roman" w:cs="Times New Roman"/>
          <w:b/>
          <w:sz w:val="24"/>
          <w:szCs w:val="24"/>
        </w:rPr>
        <w:t>Podrška razumijevanju novinarske etike i slobode izražavanja</w:t>
      </w:r>
      <w:r w:rsidRPr="005D5A7A">
        <w:rPr>
          <w:rFonts w:ascii="Times New Roman" w:hAnsi="Times New Roman" w:cs="Times New Roman"/>
          <w:sz w:val="24"/>
          <w:szCs w:val="24"/>
        </w:rPr>
        <w:t>, koji je započet u oktobru 2014.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traje do avgusta 2015. Ovaj projekat je omogućio i uspostavljanje </w:t>
      </w:r>
      <w:hyperlink r:id="rId13" w:tgtFrame="_blank" w:history="1">
        <w:commentRangeStart w:id="2"/>
        <w:r w:rsidRPr="00130726">
          <w:rPr>
            <w:rStyle w:val="Hyperlink"/>
            <w:rFonts w:ascii="Times New Roman" w:hAnsi="Times New Roman" w:cs="Times New Roman"/>
            <w:sz w:val="24"/>
            <w:szCs w:val="24"/>
          </w:rPr>
          <w:t>internet stranice</w:t>
        </w:r>
        <w:commentRangeEnd w:id="2"/>
        <w:r w:rsidRPr="00130726">
          <w:rPr>
            <w:rStyle w:val="Hyperlink"/>
            <w:rFonts w:ascii="Times New Roman" w:hAnsi="Times New Roman" w:cs="Times New Roman"/>
            <w:vanish/>
            <w:sz w:val="24"/>
            <w:szCs w:val="24"/>
          </w:rPr>
          <w:commentReference w:id="2"/>
        </w:r>
      </w:hyperlink>
      <w:r w:rsidRPr="005D5A7A">
        <w:rPr>
          <w:rFonts w:ascii="Times New Roman" w:hAnsi="Times New Roman" w:cs="Times New Roman"/>
          <w:sz w:val="24"/>
          <w:szCs w:val="24"/>
        </w:rPr>
        <w:t xml:space="preserve"> putem koje novinari drugi zainteresovani građani postavljaju pitanja iz oblasti novinarske etike i slobode izražavanja i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njih dobiju odgovor stručnjaka. HRA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do kraja februara 2015.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sprovoditi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i projekat </w:t>
      </w:r>
      <w:r w:rsidRPr="005D5A7A">
        <w:rPr>
          <w:rFonts w:ascii="Times New Roman" w:hAnsi="Times New Roman" w:cs="Times New Roman"/>
          <w:b/>
          <w:sz w:val="24"/>
          <w:szCs w:val="24"/>
        </w:rPr>
        <w:t>Nastavak debate o primjeni Kodeksa novinara Crne Gore</w:t>
      </w:r>
      <w:r w:rsidRPr="005D5A7A">
        <w:rPr>
          <w:rFonts w:ascii="Times New Roman" w:hAnsi="Times New Roman" w:cs="Times New Roman"/>
          <w:sz w:val="24"/>
          <w:szCs w:val="24"/>
        </w:rPr>
        <w:t xml:space="preserve">, u okviru koga će se sastajati predstavnici samoregulatornih tijela i razgovarati o najvažnijim pitanjima primjene Kodeksa. Cilj projekta je unapređenje profesionalne saradnje i ujednačavanje primjene Kodeksa </w:t>
      </w:r>
      <w:proofErr w:type="gramStart"/>
      <w:r w:rsidRPr="005D5A7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D5A7A">
        <w:rPr>
          <w:rFonts w:ascii="Times New Roman" w:hAnsi="Times New Roman" w:cs="Times New Roman"/>
          <w:sz w:val="24"/>
          <w:szCs w:val="24"/>
        </w:rPr>
        <w:t xml:space="preserve"> strane samoregulatornih tijela. </w:t>
      </w:r>
    </w:p>
    <w:p w:rsidR="001530F5" w:rsidRPr="005D5A7A" w:rsidRDefault="001530F5" w:rsidP="005D5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30F5" w:rsidRPr="005D5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ea GP" w:date="2015-02-04T16:36:00Z" w:initials="TG">
    <w:p w:rsidR="00AC65A5" w:rsidRPr="00E72E20" w:rsidRDefault="00AC65A5" w:rsidP="00AC65A5">
      <w:pPr>
        <w:pStyle w:val="CommentText"/>
      </w:pPr>
      <w:r>
        <w:rPr>
          <w:rStyle w:val="CommentReference"/>
        </w:rPr>
        <w:annotationRef/>
      </w:r>
      <w:r>
        <w:t>Na ovim rečima postaviti link iz zagrade</w:t>
      </w:r>
    </w:p>
  </w:comment>
  <w:comment w:id="2" w:author="Tea GP" w:date="2015-02-04T16:36:00Z" w:initials="TG">
    <w:p w:rsidR="00AC65A5" w:rsidRDefault="00AC65A5" w:rsidP="00AC65A5">
      <w:pPr>
        <w:pStyle w:val="CommentText"/>
      </w:pPr>
      <w:r>
        <w:rPr>
          <w:rStyle w:val="CommentReference"/>
        </w:rPr>
        <w:annotationRef/>
      </w:r>
      <w:proofErr w:type="gramStart"/>
      <w:r>
        <w:t>LINK  IZ</w:t>
      </w:r>
      <w:proofErr w:type="gramEnd"/>
      <w:r>
        <w:t xml:space="preserve"> ZAGRADE STAVITI NA OVE REČI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1B" w:rsidRDefault="00216D1B" w:rsidP="00802510">
      <w:pPr>
        <w:spacing w:after="0" w:line="240" w:lineRule="auto"/>
      </w:pPr>
      <w:r>
        <w:separator/>
      </w:r>
    </w:p>
  </w:endnote>
  <w:endnote w:type="continuationSeparator" w:id="0">
    <w:p w:rsidR="00216D1B" w:rsidRDefault="00216D1B" w:rsidP="0080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1B" w:rsidRDefault="00216D1B" w:rsidP="00802510">
      <w:pPr>
        <w:spacing w:after="0" w:line="240" w:lineRule="auto"/>
      </w:pPr>
      <w:r>
        <w:separator/>
      </w:r>
    </w:p>
  </w:footnote>
  <w:footnote w:type="continuationSeparator" w:id="0">
    <w:p w:rsidR="00216D1B" w:rsidRDefault="00216D1B" w:rsidP="00802510">
      <w:pPr>
        <w:spacing w:after="0" w:line="240" w:lineRule="auto"/>
      </w:pPr>
      <w:r>
        <w:continuationSeparator/>
      </w:r>
    </w:p>
  </w:footnote>
  <w:footnote w:id="1">
    <w:p w:rsidR="00802510" w:rsidRPr="00802510" w:rsidRDefault="00802510" w:rsidP="00802510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3420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Knjiga dostupna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http://www.hraction.org/wp-content/uploads/hra</w:t>
        </w:r>
      </w:hyperlink>
      <w:r w:rsidRPr="00013640">
        <w:rPr>
          <w:rFonts w:ascii="Calibri" w:hAnsi="Calibri" w:cs="Calibri"/>
          <w:color w:val="0000FF"/>
          <w:sz w:val="18"/>
          <w:szCs w:val="18"/>
          <w:u w:val="single"/>
        </w:rPr>
        <w:t>-</w:t>
      </w:r>
      <w:hyperlink r:id="rId2" w:history="1">
        <w:r w:rsidRPr="00013640">
          <w:rPr>
            <w:rFonts w:ascii="Calibri" w:hAnsi="Calibri" w:cs="Calibri"/>
            <w:color w:val="0000FF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reforma_odgovornosti_za_klevetu_i_uvredu.pdf</w:t>
        </w:r>
      </w:hyperlink>
      <w:r w:rsidRPr="00013640">
        <w:rPr>
          <w:rFonts w:ascii="Calibri" w:hAnsi="Calibri" w:cs="Calibri"/>
          <w:sz w:val="18"/>
          <w:szCs w:val="18"/>
        </w:rPr>
        <w:t>.</w:t>
      </w:r>
      <w:r w:rsidRPr="00013640">
        <w:rPr>
          <w:rFonts w:ascii="Calibri" w:hAnsi="Calibri" w:cs="Calibri"/>
          <w:color w:val="0000FF"/>
          <w:sz w:val="18"/>
          <w:szCs w:val="18"/>
        </w:rPr>
        <w:t xml:space="preserve"> </w:t>
      </w:r>
    </w:p>
  </w:footnote>
  <w:footnote w:id="2">
    <w:p w:rsidR="00802510" w:rsidRPr="00013640" w:rsidRDefault="00802510" w:rsidP="005605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3420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Knjiga dostupna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3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http://www.hraction.org/wp-content/uploads/hra</w:t>
        </w:r>
      </w:hyperlink>
      <w:r w:rsidRPr="00013640">
        <w:rPr>
          <w:rFonts w:ascii="Calibri" w:hAnsi="Calibri" w:cs="Calibri"/>
          <w:color w:val="0000FF"/>
          <w:sz w:val="18"/>
          <w:szCs w:val="18"/>
          <w:u w:val="single"/>
        </w:rPr>
        <w:t>-</w:t>
      </w:r>
      <w:hyperlink r:id="rId4" w:history="1">
        <w:r w:rsidRPr="00013640">
          <w:rPr>
            <w:rFonts w:ascii="Calibri" w:hAnsi="Calibri" w:cs="Calibri"/>
            <w:color w:val="0000FF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reforma_odgovornosti_za_klevetu_i_uvredu.pdf</w:t>
        </w:r>
      </w:hyperlink>
      <w:r w:rsidRPr="00013640">
        <w:rPr>
          <w:rFonts w:ascii="Calibri" w:hAnsi="Calibri" w:cs="Calibri"/>
          <w:sz w:val="18"/>
          <w:szCs w:val="18"/>
        </w:rPr>
        <w:t>.</w:t>
      </w:r>
      <w:r w:rsidRPr="00013640">
        <w:rPr>
          <w:rFonts w:ascii="Calibri" w:hAnsi="Calibri" w:cs="Calibri"/>
          <w:color w:val="0000FF"/>
          <w:sz w:val="18"/>
          <w:szCs w:val="18"/>
        </w:rPr>
        <w:t xml:space="preserve"> </w:t>
      </w:r>
    </w:p>
    <w:p w:rsidR="00802510" w:rsidRPr="00802510" w:rsidRDefault="00802510">
      <w:pPr>
        <w:pStyle w:val="FootnoteText"/>
      </w:pPr>
    </w:p>
  </w:footnote>
  <w:footnote w:id="3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Predlog dostupan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5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http://www.mpa.gov.me/biblioteka/predlozi-zakona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94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Saopštenje Akcije za ljudska prava dostupno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6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http://www.hraction.org/?p=770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</w:footnote>
  <w:footnote w:id="5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94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13640">
        <w:rPr>
          <w:rFonts w:ascii="Calibri" w:hAnsi="Calibri" w:cs="Calibri"/>
          <w:sz w:val="18"/>
          <w:szCs w:val="18"/>
        </w:rPr>
        <w:t>„Novinari sada previše zaštićeni“, Vijesti, 04.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013640">
        <w:rPr>
          <w:rFonts w:ascii="Calibri" w:hAnsi="Calibri" w:cs="Calibri"/>
          <w:sz w:val="18"/>
          <w:szCs w:val="18"/>
        </w:rPr>
        <w:t>april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 2011. </w:t>
      </w:r>
    </w:p>
  </w:footnote>
  <w:footnote w:id="6">
    <w:p w:rsidR="00560575" w:rsidRPr="00013640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94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13640">
        <w:rPr>
          <w:rFonts w:ascii="Calibri" w:hAnsi="Calibri" w:cs="Calibri"/>
          <w:sz w:val="18"/>
          <w:szCs w:val="18"/>
        </w:rPr>
        <w:t>„Klevetom zastrašuju građane“, Dan, 08.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013640">
        <w:rPr>
          <w:rFonts w:ascii="Calibri" w:hAnsi="Calibri" w:cs="Calibri"/>
          <w:sz w:val="18"/>
          <w:szCs w:val="18"/>
        </w:rPr>
        <w:t>april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 2011., „Lukšić podržao dekriminalizaciju klevete“, Dan, 10. april </w:t>
      </w:r>
    </w:p>
    <w:p w:rsidR="00560575" w:rsidRPr="00013640" w:rsidRDefault="00560575" w:rsidP="00560575">
      <w:pPr>
        <w:widowControl w:val="0"/>
        <w:autoSpaceDE w:val="0"/>
        <w:autoSpaceDN w:val="0"/>
        <w:adjustRightInd w:val="0"/>
        <w:spacing w:after="0" w:line="47" w:lineRule="exact"/>
        <w:rPr>
          <w:rFonts w:ascii="Calibri" w:hAnsi="Calibri" w:cs="Calibri"/>
          <w:sz w:val="18"/>
          <w:szCs w:val="18"/>
          <w:vertAlign w:val="superscript"/>
        </w:rPr>
      </w:pPr>
    </w:p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94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 w:rsidRPr="00013640">
        <w:rPr>
          <w:rFonts w:ascii="Calibri" w:hAnsi="Calibri" w:cs="Calibri"/>
          <w:sz w:val="18"/>
          <w:szCs w:val="18"/>
        </w:rPr>
        <w:t xml:space="preserve">2011. </w:t>
      </w:r>
    </w:p>
  </w:footnote>
  <w:footnote w:id="7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360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Stav u prilog dekriminalizaciji klevete i uvrede dostupan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7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http://www.hraction.org/wp-content/uploads/U</w:t>
        </w:r>
      </w:hyperlink>
      <w:r w:rsidRPr="00013640">
        <w:rPr>
          <w:rFonts w:ascii="Calibri" w:hAnsi="Calibri" w:cs="Calibri"/>
          <w:color w:val="0000FF"/>
          <w:sz w:val="18"/>
          <w:szCs w:val="18"/>
          <w:u w:val="single"/>
        </w:rPr>
        <w:t>-</w:t>
      </w:r>
      <w:hyperlink r:id="rId8" w:history="1">
        <w:r w:rsidRPr="00013640">
          <w:rPr>
            <w:rFonts w:ascii="Calibri" w:hAnsi="Calibri" w:cs="Calibri"/>
            <w:color w:val="0000FF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PRILOG-DEKRIMINALIZACIJI-KLEVETE-I-UVREDE_eng.pdf</w:t>
        </w:r>
      </w:hyperlink>
      <w:r w:rsidRPr="00013640">
        <w:rPr>
          <w:rFonts w:ascii="Calibri" w:hAnsi="Calibri" w:cs="Calibri"/>
          <w:sz w:val="18"/>
          <w:szCs w:val="18"/>
        </w:rPr>
        <w:t>.</w:t>
      </w:r>
      <w:r w:rsidRPr="00013640">
        <w:rPr>
          <w:rFonts w:ascii="Calibri" w:hAnsi="Calibri" w:cs="Calibri"/>
          <w:color w:val="0000FF"/>
          <w:sz w:val="18"/>
          <w:szCs w:val="18"/>
        </w:rPr>
        <w:t xml:space="preserve"> </w:t>
      </w:r>
    </w:p>
  </w:footnote>
  <w:footnote w:id="8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Reagovanje Akcije za ljudska prava dostupno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http://www.hraction.org/?p=837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560575" w:rsidRPr="00560575" w:rsidRDefault="00560575" w:rsidP="00560575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Saopštenje HRA povodom dekriminalizacije klevete dostupno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0" w:history="1">
        <w:r w:rsidRPr="00A277B0">
          <w:rPr>
            <w:rStyle w:val="Hyperlink"/>
            <w:rFonts w:ascii="Calibri" w:hAnsi="Calibri" w:cs="Calibri"/>
            <w:sz w:val="18"/>
            <w:szCs w:val="18"/>
          </w:rPr>
          <w:t>http://www.hraction.org/?p=907</w:t>
        </w:r>
      </w:hyperlink>
      <w:r w:rsidRPr="00013640">
        <w:rPr>
          <w:rFonts w:ascii="Calibri" w:hAnsi="Calibri" w:cs="Calibri"/>
          <w:sz w:val="18"/>
          <w:szCs w:val="18"/>
        </w:rPr>
        <w:t>.</w:t>
      </w:r>
    </w:p>
  </w:footnote>
  <w:footnote w:id="10">
    <w:p w:rsidR="00560575" w:rsidRPr="00560575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620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Izvještaj dostupan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1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http://www.hraction.org/wp-content/uploads/Ljudska_prava_u_Crnoj_Gori_2010</w:t>
        </w:r>
      </w:hyperlink>
      <w:r w:rsidRPr="00013640">
        <w:rPr>
          <w:rFonts w:ascii="Calibri" w:hAnsi="Calibri" w:cs="Calibri"/>
          <w:color w:val="0000FF"/>
          <w:sz w:val="18"/>
          <w:szCs w:val="18"/>
          <w:u w:val="single"/>
        </w:rPr>
        <w:t>-</w:t>
      </w:r>
      <w:hyperlink r:id="rId12" w:history="1">
        <w:r w:rsidRPr="00013640">
          <w:rPr>
            <w:rFonts w:ascii="Calibri" w:hAnsi="Calibri" w:cs="Calibri"/>
            <w:color w:val="0000FF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2011.pdf</w:t>
        </w:r>
      </w:hyperlink>
      <w:r w:rsidRPr="00013640">
        <w:rPr>
          <w:rFonts w:ascii="Calibri" w:hAnsi="Calibri" w:cs="Calibri"/>
          <w:sz w:val="18"/>
          <w:szCs w:val="18"/>
        </w:rPr>
        <w:t>.</w:t>
      </w:r>
      <w:r w:rsidRPr="00013640">
        <w:rPr>
          <w:rFonts w:ascii="Calibri" w:hAnsi="Calibri" w:cs="Calibri"/>
          <w:color w:val="0000FF"/>
          <w:sz w:val="18"/>
          <w:szCs w:val="18"/>
        </w:rPr>
        <w:t xml:space="preserve"> </w:t>
      </w:r>
    </w:p>
  </w:footnote>
  <w:footnote w:id="11">
    <w:p w:rsidR="00560575" w:rsidRPr="00013640" w:rsidRDefault="00560575" w:rsidP="00560575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Izvještaj dostupan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3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http://www.hraction.org/?page_id=459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  <w:p w:rsidR="00560575" w:rsidRPr="00560575" w:rsidRDefault="00560575">
      <w:pPr>
        <w:pStyle w:val="FootnoteText"/>
      </w:pPr>
    </w:p>
  </w:footnote>
  <w:footnote w:id="12">
    <w:p w:rsidR="00BE0383" w:rsidRPr="00BE0383" w:rsidRDefault="00BE0383" w:rsidP="00BE038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Pismo ministru kulture dostupno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4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http://www.hraction.org/?p=1351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</w:footnote>
  <w:footnote w:id="13">
    <w:p w:rsidR="00BE0383" w:rsidRPr="00AC65A5" w:rsidRDefault="00BE0383" w:rsidP="00AC65A5">
      <w:pPr>
        <w:widowControl w:val="0"/>
        <w:overflowPunct w:val="0"/>
        <w:autoSpaceDE w:val="0"/>
        <w:autoSpaceDN w:val="0"/>
        <w:adjustRightInd w:val="0"/>
        <w:spacing w:after="0" w:line="194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13640">
        <w:rPr>
          <w:rFonts w:ascii="Calibri" w:hAnsi="Calibri" w:cs="Calibri"/>
          <w:sz w:val="18"/>
          <w:szCs w:val="18"/>
        </w:rPr>
        <w:t xml:space="preserve">Pismo premijeru dostupno </w:t>
      </w:r>
      <w:proofErr w:type="gramStart"/>
      <w:r w:rsidRPr="00013640">
        <w:rPr>
          <w:rFonts w:ascii="Calibri" w:hAnsi="Calibri" w:cs="Calibri"/>
          <w:sz w:val="18"/>
          <w:szCs w:val="18"/>
        </w:rPr>
        <w:t>na</w:t>
      </w:r>
      <w:proofErr w:type="gramEnd"/>
      <w:r w:rsidRPr="00013640">
        <w:rPr>
          <w:rFonts w:ascii="Calibri" w:hAnsi="Calibri" w:cs="Calibri"/>
          <w:sz w:val="18"/>
          <w:szCs w:val="18"/>
        </w:rPr>
        <w:t xml:space="preserve">: </w:t>
      </w:r>
      <w:hyperlink r:id="rId15" w:history="1">
        <w:r w:rsidRPr="00013640">
          <w:rPr>
            <w:rFonts w:ascii="Calibri" w:hAnsi="Calibri" w:cs="Calibri"/>
            <w:sz w:val="18"/>
            <w:szCs w:val="18"/>
          </w:rPr>
          <w:t xml:space="preserve"> </w:t>
        </w:r>
        <w:r w:rsidRPr="00013640">
          <w:rPr>
            <w:rFonts w:ascii="Calibri" w:hAnsi="Calibri" w:cs="Calibri"/>
            <w:color w:val="0000FF"/>
            <w:sz w:val="18"/>
            <w:szCs w:val="18"/>
            <w:u w:val="single"/>
          </w:rPr>
          <w:t>http://www.hraction.org/?p=1426</w:t>
        </w:r>
      </w:hyperlink>
      <w:r w:rsidRPr="00013640">
        <w:rPr>
          <w:rFonts w:ascii="Calibri" w:hAnsi="Calibri" w:cs="Calibri"/>
          <w:sz w:val="18"/>
          <w:szCs w:val="18"/>
          <w:u w:val="single"/>
        </w:rPr>
        <w:t>.</w:t>
      </w:r>
      <w:r w:rsidRPr="00013640">
        <w:rPr>
          <w:rFonts w:ascii="Calibri" w:hAnsi="Calibri" w:cs="Calibri"/>
          <w:sz w:val="18"/>
          <w:szCs w:val="18"/>
        </w:rPr>
        <w:t xml:space="preserve"> </w:t>
      </w:r>
    </w:p>
  </w:footnote>
  <w:footnote w:id="14">
    <w:p w:rsidR="00AC65A5" w:rsidRPr="0048636E" w:rsidRDefault="00AC65A5" w:rsidP="00AC65A5">
      <w:pPr>
        <w:pStyle w:val="FootnoteText"/>
        <w:jc w:val="both"/>
        <w:rPr>
          <w:rFonts w:ascii="Cambria" w:hAnsi="Cambria"/>
        </w:rPr>
      </w:pPr>
      <w:r w:rsidRPr="0048636E">
        <w:rPr>
          <w:rStyle w:val="FootnoteReference"/>
          <w:rFonts w:ascii="Cambria" w:hAnsi="Cambria"/>
        </w:rPr>
        <w:footnoteRef/>
      </w:r>
      <w:r w:rsidRPr="0048636E">
        <w:rPr>
          <w:rFonts w:ascii="Cambria" w:hAnsi="Cambria"/>
        </w:rPr>
        <w:t xml:space="preserve"> Izvještaj „Procesuiranje napada na novinare u Crnoj Gori“, dostupan </w:t>
      </w:r>
      <w:proofErr w:type="gramStart"/>
      <w:r w:rsidRPr="0048636E">
        <w:rPr>
          <w:rFonts w:ascii="Cambria" w:hAnsi="Cambria"/>
        </w:rPr>
        <w:t>na</w:t>
      </w:r>
      <w:proofErr w:type="gramEnd"/>
      <w:r w:rsidRPr="0048636E">
        <w:rPr>
          <w:rFonts w:ascii="Cambria" w:hAnsi="Cambria"/>
        </w:rPr>
        <w:t xml:space="preserve">: </w:t>
      </w:r>
      <w:hyperlink r:id="rId16" w:history="1">
        <w:r w:rsidRPr="0048636E">
          <w:rPr>
            <w:rStyle w:val="Hyperlink"/>
            <w:rFonts w:ascii="Cambria" w:hAnsi="Cambria"/>
          </w:rPr>
          <w:t>http://www.hraction.org/wp-content/uploads/Izvjestaj-Procesuiranje-napada-na-novinare-u-Crnoj-Gori.pdf</w:t>
        </w:r>
      </w:hyperlink>
      <w:r w:rsidRPr="0048636E">
        <w:rPr>
          <w:rFonts w:ascii="Cambria" w:hAnsi="Cambria"/>
        </w:rPr>
        <w:t xml:space="preserve">. </w:t>
      </w:r>
    </w:p>
  </w:footnote>
  <w:footnote w:id="15">
    <w:p w:rsidR="00AC65A5" w:rsidRPr="0048636E" w:rsidRDefault="00AC65A5" w:rsidP="00AC65A5">
      <w:pPr>
        <w:pStyle w:val="FootnoteText"/>
        <w:jc w:val="both"/>
        <w:rPr>
          <w:rFonts w:ascii="Cambria" w:hAnsi="Cambria"/>
        </w:rPr>
      </w:pPr>
      <w:r w:rsidRPr="0048636E">
        <w:rPr>
          <w:rStyle w:val="FootnoteReference"/>
          <w:rFonts w:ascii="Cambria" w:hAnsi="Cambria"/>
        </w:rPr>
        <w:footnoteRef/>
      </w:r>
      <w:r w:rsidRPr="0048636E">
        <w:rPr>
          <w:rFonts w:ascii="Cambria" w:hAnsi="Cambria"/>
        </w:rPr>
        <w:t xml:space="preserve"> „Marković: Komisija </w:t>
      </w:r>
      <w:proofErr w:type="gramStart"/>
      <w:r w:rsidRPr="0048636E">
        <w:rPr>
          <w:rFonts w:ascii="Cambria" w:hAnsi="Cambria"/>
        </w:rPr>
        <w:t>će</w:t>
      </w:r>
      <w:proofErr w:type="gramEnd"/>
      <w:r w:rsidRPr="0048636E">
        <w:rPr>
          <w:rFonts w:ascii="Cambria" w:hAnsi="Cambria"/>
        </w:rPr>
        <w:t xml:space="preserve"> rasvijetliti makar jedan napad na novinare“, </w:t>
      </w:r>
      <w:r w:rsidRPr="0048636E">
        <w:rPr>
          <w:rFonts w:ascii="Cambria" w:hAnsi="Cambria"/>
          <w:i/>
        </w:rPr>
        <w:t>Portal Cafe Del Montenegro</w:t>
      </w:r>
      <w:r w:rsidRPr="0048636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31.1.2014, dostupno na linku: </w:t>
      </w:r>
      <w:hyperlink r:id="rId17" w:history="1">
        <w:r w:rsidRPr="0048636E">
          <w:rPr>
            <w:rStyle w:val="Hyperlink"/>
            <w:rFonts w:ascii="Cambria" w:hAnsi="Cambria"/>
          </w:rPr>
          <w:t>http://www.cdm.me/drustvo/crna-gora/markovic-komisija-ce-rasvijetliti-makar-jedan-napad-na-novinare</w:t>
        </w:r>
      </w:hyperlink>
      <w:r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C3"/>
    <w:rsid w:val="00130726"/>
    <w:rsid w:val="001530F5"/>
    <w:rsid w:val="001947D1"/>
    <w:rsid w:val="00216D1B"/>
    <w:rsid w:val="00404FC3"/>
    <w:rsid w:val="004856CC"/>
    <w:rsid w:val="00560575"/>
    <w:rsid w:val="005D5A7A"/>
    <w:rsid w:val="00750941"/>
    <w:rsid w:val="007611AD"/>
    <w:rsid w:val="00802510"/>
    <w:rsid w:val="008D2C70"/>
    <w:rsid w:val="009A6CDB"/>
    <w:rsid w:val="00AB3392"/>
    <w:rsid w:val="00AC65A5"/>
    <w:rsid w:val="00B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FC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51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10"/>
  </w:style>
  <w:style w:type="paragraph" w:styleId="Footer">
    <w:name w:val="footer"/>
    <w:basedOn w:val="Normal"/>
    <w:link w:val="FooterChar"/>
    <w:uiPriority w:val="99"/>
    <w:semiHidden/>
    <w:unhideWhenUsed/>
    <w:rsid w:val="0080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510"/>
  </w:style>
  <w:style w:type="character" w:styleId="Hyperlink">
    <w:name w:val="Hyperlink"/>
    <w:basedOn w:val="DefaultParagraphFont"/>
    <w:uiPriority w:val="99"/>
    <w:unhideWhenUsed/>
    <w:rsid w:val="00560575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C6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A5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A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FC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51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510"/>
  </w:style>
  <w:style w:type="paragraph" w:styleId="Footer">
    <w:name w:val="footer"/>
    <w:basedOn w:val="Normal"/>
    <w:link w:val="FooterChar"/>
    <w:uiPriority w:val="99"/>
    <w:semiHidden/>
    <w:unhideWhenUsed/>
    <w:rsid w:val="0080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510"/>
  </w:style>
  <w:style w:type="character" w:styleId="Hyperlink">
    <w:name w:val="Hyperlink"/>
    <w:basedOn w:val="DefaultParagraphFont"/>
    <w:uiPriority w:val="99"/>
    <w:unhideWhenUsed/>
    <w:rsid w:val="00560575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C6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A5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A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raction.org/?cat=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action.org/?page_id=45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raction.org/?p=24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action.org/?p=2344.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ction.org/wp-content/uploads/U-PRILOG-DEKRIMINALIZACIJI-KLEVETE-I-UVREDE_eng.pdf" TargetMode="External"/><Relationship Id="rId13" Type="http://schemas.openxmlformats.org/officeDocument/2006/relationships/hyperlink" Target="http://www.hraction.org/?page_id=459" TargetMode="External"/><Relationship Id="rId3" Type="http://schemas.openxmlformats.org/officeDocument/2006/relationships/hyperlink" Target="http://www.hraction.org/wp-content/uploads/hra-reforma_odgovornosti_za_klevetu_i_uvredu.pdf" TargetMode="External"/><Relationship Id="rId7" Type="http://schemas.openxmlformats.org/officeDocument/2006/relationships/hyperlink" Target="http://www.hraction.org/wp-content/uploads/U-PRILOG-DEKRIMINALIZACIJI-KLEVETE-I-UVREDE_eng.pdf" TargetMode="External"/><Relationship Id="rId12" Type="http://schemas.openxmlformats.org/officeDocument/2006/relationships/hyperlink" Target="http://www.hraction.org/wp-content/uploads/Ljudska_prava_u_Crnoj_Gori_2010-2011.pdf" TargetMode="External"/><Relationship Id="rId17" Type="http://schemas.openxmlformats.org/officeDocument/2006/relationships/hyperlink" Target="http://www.cdm.me/drustvo/crna-gora/markovic-komisija-ce-rasvijetliti-makar-jedan-napad-na-novinare" TargetMode="External"/><Relationship Id="rId2" Type="http://schemas.openxmlformats.org/officeDocument/2006/relationships/hyperlink" Target="http://www.hraction.org/wp-content/uploads/hra-reforma_odgovornosti_za_klevetu_i_uvredu.pdf" TargetMode="External"/><Relationship Id="rId16" Type="http://schemas.openxmlformats.org/officeDocument/2006/relationships/hyperlink" Target="http://www.hraction.org/wp-content/uploads/Izvjestaj-Procesuiranje-napada-na-novinare-u-Crnoj-Gori.pdf" TargetMode="External"/><Relationship Id="rId1" Type="http://schemas.openxmlformats.org/officeDocument/2006/relationships/hyperlink" Target="http://www.hraction.org/wp-content/uploads/hra-reforma_odgovornosti_za_klevetu_i_uvredu.pdf" TargetMode="External"/><Relationship Id="rId6" Type="http://schemas.openxmlformats.org/officeDocument/2006/relationships/hyperlink" Target="http://www.hraction.org/?p=770" TargetMode="External"/><Relationship Id="rId11" Type="http://schemas.openxmlformats.org/officeDocument/2006/relationships/hyperlink" Target="http://www.hraction.org/wp-content/uploads/Ljudska_prava_u_Crnoj_Gori_2010-2011.pdf" TargetMode="External"/><Relationship Id="rId5" Type="http://schemas.openxmlformats.org/officeDocument/2006/relationships/hyperlink" Target="http://www.mpa.gov.me/biblioteka/predlozi-zakona" TargetMode="External"/><Relationship Id="rId15" Type="http://schemas.openxmlformats.org/officeDocument/2006/relationships/hyperlink" Target="http://www.hraction.org/?p=1426" TargetMode="External"/><Relationship Id="rId10" Type="http://schemas.openxmlformats.org/officeDocument/2006/relationships/hyperlink" Target="http://www.hraction.org/?p=907" TargetMode="External"/><Relationship Id="rId4" Type="http://schemas.openxmlformats.org/officeDocument/2006/relationships/hyperlink" Target="http://www.hraction.org/wp-content/uploads/hra-reforma_odgovornosti_za_klevetu_i_uvredu.pdf" TargetMode="External"/><Relationship Id="rId9" Type="http://schemas.openxmlformats.org/officeDocument/2006/relationships/hyperlink" Target="http://www.hraction.org/?p=837" TargetMode="External"/><Relationship Id="rId14" Type="http://schemas.openxmlformats.org/officeDocument/2006/relationships/hyperlink" Target="http://www.hraction.org/?p=1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3106-40E4-4A2D-80CC-E06DB0E6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iGosha</cp:lastModifiedBy>
  <cp:revision>3</cp:revision>
  <cp:lastPrinted>2015-02-05T19:26:00Z</cp:lastPrinted>
  <dcterms:created xsi:type="dcterms:W3CDTF">2015-02-05T19:26:00Z</dcterms:created>
  <dcterms:modified xsi:type="dcterms:W3CDTF">2015-02-05T19:50:00Z</dcterms:modified>
</cp:coreProperties>
</file>